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DB5" w:rsidRPr="00EE0198" w:rsidRDefault="00982DB5" w:rsidP="00EE0198">
      <w:pPr>
        <w:spacing w:after="0" w:line="240" w:lineRule="auto"/>
        <w:jc w:val="both"/>
        <w:rPr>
          <w:rFonts w:ascii="Arial Narrow" w:hAnsi="Arial Narrow" w:cs="Arial"/>
        </w:rPr>
      </w:pPr>
    </w:p>
    <w:p w:rsidR="003641A7" w:rsidRPr="00EE0198" w:rsidRDefault="003641A7" w:rsidP="00EE0198">
      <w:pPr>
        <w:spacing w:after="0" w:line="240" w:lineRule="auto"/>
        <w:jc w:val="both"/>
        <w:rPr>
          <w:rFonts w:ascii="Arial Narrow" w:hAnsi="Arial Narrow" w:cs="Arial"/>
          <w:b/>
        </w:rPr>
      </w:pPr>
    </w:p>
    <w:p w:rsidR="003641A7" w:rsidRPr="00EE0198" w:rsidRDefault="00224C33" w:rsidP="00521F52">
      <w:pPr>
        <w:spacing w:after="0" w:line="240" w:lineRule="auto"/>
        <w:rPr>
          <w:rFonts w:ascii="Arial Narrow" w:hAnsi="Arial Narrow" w:cs="Arial"/>
          <w:b/>
        </w:rPr>
      </w:pPr>
      <w:r w:rsidRPr="00EE0198">
        <w:rPr>
          <w:rFonts w:ascii="Arial Narrow" w:hAnsi="Arial Narrow" w:cs="Arial"/>
          <w:b/>
          <w:noProof/>
          <w:lang w:eastAsia="pl-PL"/>
        </w:rPr>
        <w:drawing>
          <wp:anchor distT="0" distB="0" distL="114300" distR="114300" simplePos="0" relativeHeight="251658240" behindDoc="0" locked="0" layoutInCell="1" allowOverlap="1" wp14:anchorId="3DBCA064" wp14:editId="0861FE90">
            <wp:simplePos x="0" y="0"/>
            <wp:positionH relativeFrom="column">
              <wp:posOffset>900430</wp:posOffset>
            </wp:positionH>
            <wp:positionV relativeFrom="paragraph">
              <wp:align>top</wp:align>
            </wp:positionV>
            <wp:extent cx="3251835" cy="1343660"/>
            <wp:effectExtent l="0" t="0" r="5715" b="8890"/>
            <wp:wrapSquare wrapText="bothSides"/>
            <wp:docPr id="2" name="Obraz 1" descr="EO-logo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O-logo_k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51835" cy="1343660"/>
                    </a:xfrm>
                    <a:prstGeom prst="rect">
                      <a:avLst/>
                    </a:prstGeom>
                    <a:noFill/>
                    <a:ln>
                      <a:noFill/>
                    </a:ln>
                  </pic:spPr>
                </pic:pic>
              </a:graphicData>
            </a:graphic>
          </wp:anchor>
        </w:drawing>
      </w:r>
      <w:r w:rsidR="00521F52">
        <w:rPr>
          <w:rFonts w:ascii="Arial Narrow" w:hAnsi="Arial Narrow" w:cs="Arial"/>
          <w:b/>
        </w:rPr>
        <w:br w:type="textWrapping" w:clear="all"/>
      </w:r>
    </w:p>
    <w:p w:rsidR="003641A7" w:rsidRPr="00EE0198" w:rsidRDefault="003641A7" w:rsidP="00EE0198">
      <w:pPr>
        <w:spacing w:after="0" w:line="240" w:lineRule="auto"/>
        <w:jc w:val="both"/>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C25590" w:rsidRPr="00EE0198" w:rsidRDefault="00C25590"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pPr>
    </w:p>
    <w:p w:rsidR="00DD4BE5" w:rsidRPr="00EE0198" w:rsidRDefault="00DD4BE5" w:rsidP="00EE0198">
      <w:pPr>
        <w:spacing w:after="0" w:line="240" w:lineRule="auto"/>
        <w:jc w:val="both"/>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3641A7" w:rsidRPr="00EE0198" w:rsidRDefault="008E2B8B" w:rsidP="00EE0198">
      <w:pPr>
        <w:spacing w:after="120" w:line="240" w:lineRule="auto"/>
        <w:jc w:val="center"/>
        <w:rPr>
          <w:rFonts w:ascii="Arial Narrow" w:hAnsi="Arial Narrow" w:cs="Arial"/>
          <w:b/>
          <w:sz w:val="32"/>
          <w:szCs w:val="32"/>
        </w:rPr>
      </w:pPr>
      <w:r>
        <w:rPr>
          <w:rFonts w:ascii="Arial Narrow" w:hAnsi="Arial Narrow" w:cs="Arial"/>
          <w:b/>
          <w:sz w:val="32"/>
          <w:szCs w:val="32"/>
        </w:rPr>
        <w:t>SPECYFIKACJA TECHNICZNA</w:t>
      </w:r>
    </w:p>
    <w:p w:rsidR="003641A7" w:rsidRPr="00EE0198" w:rsidRDefault="00B26133" w:rsidP="00EE0198">
      <w:pPr>
        <w:spacing w:after="0" w:line="240" w:lineRule="auto"/>
        <w:jc w:val="center"/>
        <w:rPr>
          <w:rFonts w:ascii="Arial Narrow" w:hAnsi="Arial Narrow" w:cs="Arial"/>
          <w:b/>
          <w:sz w:val="32"/>
          <w:szCs w:val="32"/>
        </w:rPr>
      </w:pPr>
      <w:r w:rsidRPr="00EE0198">
        <w:rPr>
          <w:rFonts w:ascii="Arial Narrow" w:hAnsi="Arial Narrow" w:cs="Arial"/>
          <w:b/>
          <w:sz w:val="32"/>
          <w:szCs w:val="32"/>
        </w:rPr>
        <w:t>Transformatory WN/SN</w:t>
      </w:r>
    </w:p>
    <w:p w:rsidR="00C726F5" w:rsidRDefault="00C726F5" w:rsidP="00C726F5">
      <w:pPr>
        <w:jc w:val="center"/>
        <w:rPr>
          <w:rFonts w:ascii="Arial Narrow" w:hAnsi="Arial Narrow" w:cs="Arial"/>
          <w:b/>
          <w:color w:val="FF0000"/>
          <w:sz w:val="28"/>
          <w:szCs w:val="28"/>
          <w:u w:val="single"/>
        </w:rPr>
      </w:pPr>
    </w:p>
    <w:p w:rsidR="003641A7" w:rsidRDefault="003641A7" w:rsidP="00EE0198">
      <w:pPr>
        <w:spacing w:after="0" w:line="240" w:lineRule="auto"/>
        <w:jc w:val="center"/>
        <w:rPr>
          <w:rFonts w:ascii="Arial Narrow" w:hAnsi="Arial Narrow" w:cs="Arial"/>
          <w:b/>
        </w:rPr>
      </w:pPr>
    </w:p>
    <w:p w:rsidR="00FC2556" w:rsidRPr="00EE0198" w:rsidRDefault="00FC2556" w:rsidP="00EE0198">
      <w:pPr>
        <w:spacing w:after="0" w:line="240" w:lineRule="auto"/>
        <w:jc w:val="center"/>
        <w:rPr>
          <w:rFonts w:ascii="Arial Narrow" w:hAnsi="Arial Narrow" w:cs="Arial"/>
          <w:b/>
        </w:rPr>
      </w:pPr>
    </w:p>
    <w:p w:rsidR="003641A7" w:rsidRPr="00EE0198" w:rsidRDefault="003641A7" w:rsidP="00EE0198">
      <w:pPr>
        <w:spacing w:after="0" w:line="240" w:lineRule="auto"/>
        <w:jc w:val="center"/>
        <w:rPr>
          <w:rFonts w:ascii="Arial Narrow" w:hAnsi="Arial Narrow" w:cs="Arial"/>
          <w:b/>
        </w:rPr>
      </w:pPr>
    </w:p>
    <w:p w:rsidR="003641A7" w:rsidRPr="00EE0198" w:rsidRDefault="008E2B8B" w:rsidP="00EE0198">
      <w:pPr>
        <w:spacing w:after="0" w:line="240" w:lineRule="auto"/>
        <w:jc w:val="center"/>
        <w:rPr>
          <w:rFonts w:ascii="Arial Narrow" w:hAnsi="Arial Narrow" w:cs="Arial"/>
        </w:rPr>
      </w:pPr>
      <w:r>
        <w:rPr>
          <w:rFonts w:ascii="Arial Narrow" w:hAnsi="Arial Narrow" w:cs="Arial"/>
        </w:rPr>
        <w:t>Szczegółowa specyfikacja techniczna</w:t>
      </w:r>
      <w:r w:rsidR="003641A7" w:rsidRPr="00EE0198">
        <w:rPr>
          <w:rFonts w:ascii="Arial Narrow" w:hAnsi="Arial Narrow" w:cs="Arial"/>
        </w:rPr>
        <w:t xml:space="preserve"> dla </w:t>
      </w:r>
      <w:r w:rsidR="00B26133" w:rsidRPr="00EE0198">
        <w:rPr>
          <w:rFonts w:ascii="Arial Narrow" w:hAnsi="Arial Narrow" w:cs="Arial"/>
        </w:rPr>
        <w:t>transformatorów WN/SN</w:t>
      </w:r>
    </w:p>
    <w:p w:rsidR="003641A7" w:rsidRPr="00EE0198" w:rsidRDefault="003641A7" w:rsidP="00EE0198">
      <w:pPr>
        <w:spacing w:after="0" w:line="240" w:lineRule="auto"/>
        <w:jc w:val="center"/>
        <w:rPr>
          <w:rFonts w:ascii="Arial Narrow" w:hAnsi="Arial Narrow" w:cs="Arial"/>
        </w:rPr>
      </w:pPr>
    </w:p>
    <w:p w:rsidR="003641A7" w:rsidRPr="00EE0198" w:rsidRDefault="003641A7" w:rsidP="00EE0198">
      <w:pPr>
        <w:spacing w:after="0" w:line="240" w:lineRule="auto"/>
        <w:jc w:val="center"/>
        <w:rPr>
          <w:rFonts w:ascii="Arial Narrow" w:hAnsi="Arial Narrow" w:cs="Arial"/>
          <w:b/>
        </w:rPr>
      </w:pPr>
    </w:p>
    <w:p w:rsidR="003641A7" w:rsidRPr="00EE0198" w:rsidRDefault="003641A7" w:rsidP="00EE0198">
      <w:pPr>
        <w:spacing w:after="0" w:line="240" w:lineRule="auto"/>
        <w:jc w:val="center"/>
        <w:rPr>
          <w:rFonts w:ascii="Arial Narrow" w:hAnsi="Arial Narrow" w:cs="Arial"/>
          <w:b/>
        </w:rPr>
      </w:pPr>
    </w:p>
    <w:p w:rsidR="003641A7" w:rsidRPr="00EE0198" w:rsidRDefault="003641A7" w:rsidP="00EE0198">
      <w:pPr>
        <w:spacing w:after="0" w:line="240" w:lineRule="auto"/>
        <w:jc w:val="center"/>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3641A7" w:rsidRPr="00EE0198" w:rsidRDefault="003641A7" w:rsidP="00EE0198">
      <w:pPr>
        <w:spacing w:after="0" w:line="240" w:lineRule="auto"/>
        <w:jc w:val="both"/>
        <w:rPr>
          <w:rFonts w:ascii="Arial Narrow" w:hAnsi="Arial Narrow" w:cs="Arial"/>
          <w:b/>
        </w:rPr>
      </w:pPr>
    </w:p>
    <w:p w:rsidR="00B53ADC" w:rsidRDefault="00B53ADC" w:rsidP="00EE0198">
      <w:pPr>
        <w:spacing w:after="0" w:line="240" w:lineRule="auto"/>
        <w:jc w:val="both"/>
        <w:rPr>
          <w:rFonts w:ascii="Arial Narrow" w:hAnsi="Arial Narrow" w:cs="Arial"/>
          <w:b/>
        </w:rPr>
      </w:pPr>
    </w:p>
    <w:p w:rsidR="00B53ADC" w:rsidRDefault="00B53ADC" w:rsidP="00EE0198">
      <w:pPr>
        <w:spacing w:after="0" w:line="240" w:lineRule="auto"/>
        <w:jc w:val="both"/>
        <w:rPr>
          <w:rFonts w:ascii="Arial Narrow" w:hAnsi="Arial Narrow" w:cs="Arial"/>
          <w:b/>
        </w:rPr>
      </w:pPr>
    </w:p>
    <w:p w:rsidR="00B53ADC" w:rsidRPr="00EE0198" w:rsidRDefault="00B53ADC"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pPr>
    </w:p>
    <w:p w:rsidR="00CE51E2" w:rsidRDefault="00CE51E2"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Default="00FC2556" w:rsidP="00EE0198">
      <w:pPr>
        <w:spacing w:after="0" w:line="240" w:lineRule="auto"/>
        <w:jc w:val="both"/>
        <w:rPr>
          <w:rFonts w:ascii="Arial Narrow" w:hAnsi="Arial Narrow" w:cs="Arial"/>
          <w:b/>
        </w:rPr>
      </w:pPr>
    </w:p>
    <w:p w:rsidR="00FC2556" w:rsidRPr="00EE0198" w:rsidRDefault="00FC2556"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CE51E2" w:rsidRPr="00EE0198" w:rsidRDefault="00CE51E2" w:rsidP="00EE0198">
      <w:pPr>
        <w:spacing w:after="0" w:line="240" w:lineRule="auto"/>
        <w:jc w:val="both"/>
        <w:rPr>
          <w:rFonts w:ascii="Arial Narrow" w:hAnsi="Arial Narrow" w:cs="Arial"/>
          <w:b/>
        </w:rPr>
      </w:pPr>
    </w:p>
    <w:p w:rsidR="003641A7" w:rsidRPr="00EE0198" w:rsidRDefault="003641A7" w:rsidP="00EE0198">
      <w:pPr>
        <w:spacing w:after="0" w:line="240" w:lineRule="auto"/>
        <w:jc w:val="center"/>
        <w:rPr>
          <w:rFonts w:ascii="Arial Narrow" w:hAnsi="Arial Narrow" w:cs="Arial"/>
          <w:b/>
        </w:rPr>
      </w:pPr>
      <w:r w:rsidRPr="00EE0198">
        <w:rPr>
          <w:rFonts w:ascii="Arial Narrow" w:hAnsi="Arial Narrow" w:cs="Arial"/>
          <w:b/>
        </w:rPr>
        <w:t>__________________________________________________________________________</w:t>
      </w:r>
    </w:p>
    <w:p w:rsidR="003641A7" w:rsidRPr="00EE0198" w:rsidRDefault="00EE2D23" w:rsidP="00EE0198">
      <w:pPr>
        <w:spacing w:after="0" w:line="240" w:lineRule="auto"/>
        <w:jc w:val="center"/>
        <w:rPr>
          <w:rFonts w:ascii="Arial Narrow" w:hAnsi="Arial Narrow" w:cs="Arial"/>
          <w:b/>
        </w:rPr>
      </w:pPr>
      <w:r w:rsidRPr="00EE0198">
        <w:rPr>
          <w:rFonts w:ascii="Arial Narrow" w:hAnsi="Arial Narrow" w:cs="Arial"/>
          <w:b/>
        </w:rPr>
        <w:t>ENERGA-OPERATOR SA</w:t>
      </w:r>
    </w:p>
    <w:p w:rsidR="004453FE" w:rsidRPr="00EE0198" w:rsidRDefault="004453FE"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pPr>
    </w:p>
    <w:p w:rsidR="004453FE" w:rsidRPr="00EE0198" w:rsidRDefault="004453FE" w:rsidP="00EE0198">
      <w:pPr>
        <w:spacing w:after="0" w:line="240" w:lineRule="auto"/>
        <w:jc w:val="both"/>
        <w:rPr>
          <w:rFonts w:ascii="Arial Narrow" w:hAnsi="Arial Narrow" w:cs="Arial"/>
          <w:b/>
        </w:rPr>
        <w:sectPr w:rsidR="004453FE" w:rsidRPr="00EE0198" w:rsidSect="00CE54C1">
          <w:headerReference w:type="default" r:id="rId9"/>
          <w:pgSz w:w="11906" w:h="16838"/>
          <w:pgMar w:top="1276" w:right="851" w:bottom="567" w:left="1418" w:header="426" w:footer="194" w:gutter="0"/>
          <w:cols w:space="708"/>
          <w:docGrid w:linePitch="360"/>
        </w:sectPr>
      </w:pPr>
    </w:p>
    <w:p w:rsidR="00B26133" w:rsidRPr="00EE0198" w:rsidRDefault="00B26133" w:rsidP="000F6E20">
      <w:pPr>
        <w:pStyle w:val="Nagwek1"/>
        <w:spacing w:before="0"/>
        <w:jc w:val="both"/>
        <w:rPr>
          <w:rFonts w:ascii="Arial Narrow" w:hAnsi="Arial Narrow"/>
          <w:sz w:val="22"/>
          <w:szCs w:val="22"/>
        </w:rPr>
      </w:pPr>
      <w:r w:rsidRPr="00EE0198">
        <w:rPr>
          <w:rFonts w:ascii="Arial Narrow" w:hAnsi="Arial Narrow"/>
          <w:sz w:val="22"/>
          <w:szCs w:val="22"/>
        </w:rPr>
        <w:lastRenderedPageBreak/>
        <w:t>Wymagania ogólne</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 xml:space="preserve">Transformator oraz wszystkie jego części, materiały i podzespoły użyte do budowy transformatora muszą być fabrycznie </w:t>
      </w:r>
      <w:r w:rsidRPr="00EE0198">
        <w:rPr>
          <w:rFonts w:ascii="Arial Narrow" w:hAnsi="Arial Narrow" w:cs="Calibri"/>
          <w:b w:val="0"/>
          <w:i w:val="0"/>
          <w:color w:val="auto"/>
          <w:sz w:val="22"/>
          <w:szCs w:val="22"/>
        </w:rPr>
        <w:t>nowe i wyprodukowane nie wcześniej niż 12 miesięcy licząc od daty dostawy.</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Dostawca ma gwarantować jakość i zgodność z dokumentami odniesienia transformatorów WN/SN. Okres gwarancji nie może być krótszy niż 5 lat, licząc od daty odbioru końcowego.</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lang w:eastAsia="pl-PL"/>
        </w:rPr>
        <w:t>Dostawca ma zapewnić udział transformatorów pochodzących z państw członkowskich Unii Europejskiej lub państw, z którymi Wspólnota Europejska zawarła umowy o równym traktowaniu przedsiębiorców, na poziomie nie niższym niż 50 %.</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 xml:space="preserve">Transformator ma spełniać warunki określone w niniejszej specyfikacji i dokumentach normatywnych w niej wymienionych. W przypadku, gdy wymagania podane w niniejszej specyfikacji są bardzie rygorystyczne od wymagań zawartych w dokumentach normatywnych, należy wówczas stosować się do wymagań zawartych </w:t>
      </w:r>
      <w:r w:rsidR="00EE0198">
        <w:rPr>
          <w:rFonts w:ascii="Arial Narrow" w:hAnsi="Arial Narrow"/>
          <w:b w:val="0"/>
          <w:i w:val="0"/>
          <w:color w:val="auto"/>
          <w:sz w:val="22"/>
          <w:szCs w:val="22"/>
          <w:lang w:val="pl-PL"/>
        </w:rPr>
        <w:t xml:space="preserve">                     </w:t>
      </w:r>
      <w:r w:rsidRPr="00EE0198">
        <w:rPr>
          <w:rFonts w:ascii="Arial Narrow" w:hAnsi="Arial Narrow"/>
          <w:b w:val="0"/>
          <w:i w:val="0"/>
          <w:color w:val="auto"/>
          <w:sz w:val="22"/>
          <w:szCs w:val="22"/>
        </w:rPr>
        <w:t>w specyfikacji.</w:t>
      </w:r>
    </w:p>
    <w:p w:rsidR="00B26133" w:rsidRPr="00CD4F03" w:rsidRDefault="00B26133" w:rsidP="00CD4F03">
      <w:pPr>
        <w:pStyle w:val="Nagwek2"/>
        <w:spacing w:before="0"/>
        <w:ind w:left="426" w:hanging="426"/>
        <w:jc w:val="both"/>
        <w:rPr>
          <w:rFonts w:ascii="Arial Narrow" w:hAnsi="Arial Narrow"/>
          <w:b w:val="0"/>
          <w:i w:val="0"/>
          <w:color w:val="auto"/>
          <w:spacing w:val="-2"/>
          <w:sz w:val="22"/>
          <w:szCs w:val="22"/>
        </w:rPr>
      </w:pPr>
      <w:r w:rsidRPr="00CD4F03">
        <w:rPr>
          <w:rFonts w:ascii="Arial Narrow" w:hAnsi="Arial Narrow"/>
          <w:b w:val="0"/>
          <w:i w:val="0"/>
          <w:color w:val="auto"/>
          <w:spacing w:val="-2"/>
          <w:sz w:val="22"/>
          <w:szCs w:val="22"/>
        </w:rPr>
        <w:t>Transformator powinien być wykonany w sposób umożliwiający ustawienie na podłożu poziomym o tolerancji +/- 3%.</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Transformator powinien być wykonany w sposób umożliwiający podnoszenie przy użyciu podnośników hydraulicznych, suwnic lub dźwigów.</w:t>
      </w:r>
    </w:p>
    <w:p w:rsidR="00B26133" w:rsidRPr="00EE0198" w:rsidRDefault="00B26133" w:rsidP="00611FE8">
      <w:pPr>
        <w:pStyle w:val="Nagwek1"/>
        <w:spacing w:before="180"/>
        <w:ind w:left="431" w:hanging="431"/>
        <w:jc w:val="both"/>
        <w:rPr>
          <w:rFonts w:ascii="Arial Narrow" w:hAnsi="Arial Narrow"/>
          <w:sz w:val="22"/>
          <w:szCs w:val="22"/>
        </w:rPr>
      </w:pPr>
      <w:r w:rsidRPr="00EE0198">
        <w:rPr>
          <w:rFonts w:ascii="Arial Narrow" w:hAnsi="Arial Narrow"/>
          <w:sz w:val="22"/>
          <w:szCs w:val="22"/>
        </w:rPr>
        <w:t>Warunki klimatyczne</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Zakres temperatur otoczenia: od -25</w:t>
      </w:r>
      <w:r w:rsidRPr="00EE0198">
        <w:rPr>
          <w:rFonts w:ascii="Arial Narrow" w:hAnsi="Arial Narrow" w:cs="Calibri"/>
          <w:b w:val="0"/>
          <w:i w:val="0"/>
          <w:color w:val="auto"/>
          <w:sz w:val="22"/>
          <w:szCs w:val="22"/>
          <w:vertAlign w:val="superscript"/>
        </w:rPr>
        <w:t>○</w:t>
      </w:r>
      <w:r w:rsidRPr="00EE0198">
        <w:rPr>
          <w:rFonts w:ascii="Arial Narrow" w:hAnsi="Arial Narrow" w:cs="Calibri"/>
          <w:b w:val="0"/>
          <w:i w:val="0"/>
          <w:color w:val="auto"/>
          <w:sz w:val="22"/>
          <w:szCs w:val="22"/>
        </w:rPr>
        <w:t xml:space="preserve">C </w:t>
      </w:r>
      <w:r w:rsidRPr="00EE0198">
        <w:rPr>
          <w:rFonts w:ascii="Arial Narrow" w:hAnsi="Arial Narrow"/>
          <w:b w:val="0"/>
          <w:i w:val="0"/>
          <w:color w:val="auto"/>
          <w:sz w:val="22"/>
          <w:szCs w:val="22"/>
        </w:rPr>
        <w:t>do +40</w:t>
      </w:r>
      <w:r w:rsidRPr="00EE0198">
        <w:rPr>
          <w:rFonts w:ascii="Arial Narrow" w:hAnsi="Arial Narrow" w:cs="Calibri"/>
          <w:b w:val="0"/>
          <w:i w:val="0"/>
          <w:color w:val="auto"/>
          <w:sz w:val="22"/>
          <w:szCs w:val="22"/>
          <w:vertAlign w:val="superscript"/>
        </w:rPr>
        <w:t>○</w:t>
      </w:r>
      <w:r w:rsidRPr="00EE0198">
        <w:rPr>
          <w:rFonts w:ascii="Arial Narrow" w:hAnsi="Arial Narrow"/>
          <w:b w:val="0"/>
          <w:i w:val="0"/>
          <w:color w:val="auto"/>
          <w:sz w:val="22"/>
          <w:szCs w:val="22"/>
        </w:rPr>
        <w:t>C.</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Wysokość pracy  – nie więcej niż 1000 m n.p.m.</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Poziom zanieczyszczenia powietrza – III strefa zabrudzeniowa wg PN-E-06303:1998</w:t>
      </w:r>
      <w:r w:rsidR="00CE23EB">
        <w:rPr>
          <w:rFonts w:ascii="Arial Narrow" w:hAnsi="Arial Narrow"/>
          <w:b w:val="0"/>
          <w:i w:val="0"/>
          <w:color w:val="auto"/>
          <w:sz w:val="22"/>
          <w:szCs w:val="22"/>
          <w:lang w:val="pl-PL"/>
        </w:rPr>
        <w:t>P</w:t>
      </w:r>
      <w:r w:rsidRPr="00EE0198">
        <w:rPr>
          <w:rFonts w:ascii="Arial Narrow" w:hAnsi="Arial Narrow"/>
          <w:b w:val="0"/>
          <w:i w:val="0"/>
          <w:color w:val="auto"/>
          <w:sz w:val="22"/>
          <w:szCs w:val="22"/>
        </w:rPr>
        <w:t xml:space="preserve">  Narażenie zabrudzeniowe izolacji napowietrznej i dobór izolatorów do warunków zabrudzeniowych.</w:t>
      </w:r>
    </w:p>
    <w:p w:rsidR="00B26133" w:rsidRPr="00EE0198" w:rsidRDefault="00B26133" w:rsidP="00611FE8">
      <w:pPr>
        <w:pStyle w:val="Nagwek1"/>
        <w:spacing w:before="180"/>
        <w:ind w:left="431" w:hanging="431"/>
        <w:jc w:val="both"/>
        <w:rPr>
          <w:rFonts w:ascii="Arial Narrow" w:hAnsi="Arial Narrow"/>
          <w:sz w:val="22"/>
          <w:szCs w:val="22"/>
        </w:rPr>
      </w:pPr>
      <w:r w:rsidRPr="00EE0198">
        <w:rPr>
          <w:rFonts w:ascii="Arial Narrow" w:hAnsi="Arial Narrow"/>
          <w:sz w:val="22"/>
          <w:szCs w:val="22"/>
        </w:rPr>
        <w:t>Sieć zasilająca, odbiorcza i ich parametry</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Sieć o napięciu znamionowym 110 kV trójfazowa, pracująca ze skutecznie uziemionym punktem neutralnym (punkt neutralny (punkt gwiazdowy) transformatora po stronie GN może być uziemiany bezpośrednio lub pozostawać izolowany).</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Sieć o napięciu znamionowym 15 kV, trójfazowa, pracująca jako skompensowana lub pracująca z punktem neutralnym uziemionym przez rezystancję.</w:t>
      </w:r>
    </w:p>
    <w:p w:rsidR="00B26133" w:rsidRPr="00EE0198" w:rsidRDefault="00B26133" w:rsidP="00611FE8">
      <w:pPr>
        <w:pStyle w:val="Nagwek1"/>
        <w:spacing w:before="180"/>
        <w:ind w:left="431" w:hanging="431"/>
        <w:jc w:val="both"/>
        <w:rPr>
          <w:rFonts w:ascii="Arial Narrow" w:hAnsi="Arial Narrow"/>
          <w:sz w:val="22"/>
          <w:szCs w:val="22"/>
        </w:rPr>
      </w:pPr>
      <w:r w:rsidRPr="00EE0198">
        <w:rPr>
          <w:rFonts w:ascii="Arial Narrow" w:hAnsi="Arial Narrow"/>
          <w:sz w:val="22"/>
          <w:szCs w:val="22"/>
        </w:rPr>
        <w:t>Parametry transformatora i wyposażenie</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Transformator ma być: trójfazowy, regulacyjny, dwuuzwojeniowy, olejowy, napowietrzny.</w:t>
      </w:r>
    </w:p>
    <w:p w:rsidR="00B26133" w:rsidRPr="00EE0198" w:rsidRDefault="00B26133" w:rsidP="00CD4F03">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Parametry znamionowe transformatorów zestawiono w tablicach 1</w:t>
      </w:r>
      <w:r w:rsidR="008E3A30" w:rsidRPr="00EE0198">
        <w:rPr>
          <w:rFonts w:ascii="Arial Narrow" w:hAnsi="Arial Narrow"/>
          <w:b w:val="0"/>
          <w:i w:val="0"/>
          <w:color w:val="auto"/>
          <w:sz w:val="22"/>
          <w:szCs w:val="22"/>
        </w:rPr>
        <w:t>-</w:t>
      </w:r>
      <w:r w:rsidR="008E3A30" w:rsidRPr="00EE0198">
        <w:rPr>
          <w:rFonts w:ascii="Arial Narrow" w:hAnsi="Arial Narrow"/>
          <w:b w:val="0"/>
          <w:i w:val="0"/>
          <w:color w:val="auto"/>
          <w:sz w:val="22"/>
          <w:szCs w:val="22"/>
          <w:lang w:val="pl-PL"/>
        </w:rPr>
        <w:t>2</w:t>
      </w:r>
      <w:r w:rsidRPr="00EE0198">
        <w:rPr>
          <w:rFonts w:ascii="Arial Narrow" w:hAnsi="Arial Narrow"/>
          <w:b w:val="0"/>
          <w:i w:val="0"/>
          <w:color w:val="auto"/>
          <w:sz w:val="22"/>
          <w:szCs w:val="22"/>
        </w:rPr>
        <w:t>.</w:t>
      </w:r>
    </w:p>
    <w:p w:rsidR="00B26133" w:rsidRPr="003B7367" w:rsidRDefault="00B26133" w:rsidP="00CD4F03">
      <w:pPr>
        <w:pStyle w:val="Nagwek3"/>
        <w:keepNext w:val="0"/>
        <w:numPr>
          <w:ilvl w:val="0"/>
          <w:numId w:val="0"/>
        </w:numPr>
        <w:spacing w:before="120"/>
        <w:jc w:val="both"/>
        <w:rPr>
          <w:rFonts w:ascii="Arial Narrow" w:hAnsi="Arial Narrow"/>
          <w:b w:val="0"/>
          <w:color w:val="auto"/>
          <w:sz w:val="22"/>
          <w:szCs w:val="22"/>
          <w:u w:val="single"/>
        </w:rPr>
      </w:pPr>
      <w:r w:rsidRPr="003B7367">
        <w:rPr>
          <w:rFonts w:ascii="Arial Narrow" w:hAnsi="Arial Narrow"/>
          <w:b w:val="0"/>
          <w:color w:val="auto"/>
          <w:sz w:val="22"/>
          <w:szCs w:val="22"/>
          <w:u w:val="single"/>
        </w:rPr>
        <w:t>Tablica 1 Parametry znamionowe transformatorów o mocy 16 MVA</w:t>
      </w:r>
    </w:p>
    <w:tbl>
      <w:tblPr>
        <w:tblW w:w="982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6"/>
        <w:gridCol w:w="6460"/>
        <w:gridCol w:w="586"/>
        <w:gridCol w:w="2250"/>
      </w:tblGrid>
      <w:tr w:rsidR="00B26133" w:rsidRPr="003B7367" w:rsidTr="00356426">
        <w:trPr>
          <w:trHeight w:val="227"/>
        </w:trPr>
        <w:tc>
          <w:tcPr>
            <w:tcW w:w="526"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Lp.</w:t>
            </w:r>
          </w:p>
        </w:tc>
        <w:tc>
          <w:tcPr>
            <w:tcW w:w="6460"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Wyszczególnienie</w:t>
            </w:r>
          </w:p>
        </w:tc>
        <w:tc>
          <w:tcPr>
            <w:tcW w:w="586"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Jedn.</w:t>
            </w:r>
          </w:p>
        </w:tc>
        <w:tc>
          <w:tcPr>
            <w:tcW w:w="2250" w:type="dxa"/>
            <w:tcBorders>
              <w:bottom w:val="single" w:sz="8" w:space="0" w:color="auto"/>
            </w:tcBorders>
            <w:shd w:val="clear" w:color="auto" w:fill="F2DBDB"/>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Wartości znamionowe</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1.</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Moc</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MVA</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16</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2.</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Górne napięcie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115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3.</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ind w:right="124"/>
              <w:jc w:val="both"/>
              <w:rPr>
                <w:rFonts w:ascii="Arial Narrow" w:eastAsia="Arial Unicode MS" w:hAnsi="Arial Narrow" w:cs="Calibri"/>
              </w:rPr>
            </w:pPr>
            <w:r w:rsidRPr="003B7367">
              <w:rPr>
                <w:rFonts w:ascii="Arial Narrow" w:hAnsi="Arial Narrow" w:cs="Calibri"/>
              </w:rPr>
              <w:t>Dolne napięcie (DN)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511B51">
            <w:pPr>
              <w:spacing w:after="0" w:line="240" w:lineRule="auto"/>
              <w:jc w:val="both"/>
              <w:rPr>
                <w:rFonts w:ascii="Arial Narrow" w:eastAsia="Arial Unicode MS" w:hAnsi="Arial Narrow" w:cs="Calibri"/>
              </w:rPr>
            </w:pPr>
            <w:r w:rsidRPr="003B7367">
              <w:rPr>
                <w:rFonts w:ascii="Arial Narrow" w:hAnsi="Arial Narrow" w:cs="Calibri"/>
              </w:rPr>
              <w:t>16,5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4.</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Częstotliwość</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Hz</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50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5.</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Regulacja napięcia po stronie GN o stałej mocy zaczepowej</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xml:space="preserve">-/+ 10 ** </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6.</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Układ połączeń</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YNd11</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7.</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Rodzaj pracy</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C</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8.</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Napięcie zwarcia GN na zaczepie znamionowym oraz na zaczepach skrajnych.</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11-15*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9.</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Straty stanu jałowego na zaczepie znamionowym z dopuszczalną maksymalną tolerancją +0%</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 8,5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10.</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 xml:space="preserve">Straty obciążeniowe na zaczepie znamionowym z dopuszczalną maksymalną tolerancją +0% </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 80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11.</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zacisków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LI550/AC230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12.</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zacisku neutralnego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LI325/AC140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13.</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zacisków DN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Dla 15 kV - LI95/AC38</w:t>
            </w:r>
          </w:p>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Dla 20 kV - LI125/AC50</w:t>
            </w:r>
          </w:p>
          <w:p w:rsidR="00B26133" w:rsidRPr="003B7367" w:rsidRDefault="00B26133" w:rsidP="00611FE8">
            <w:pPr>
              <w:spacing w:after="0" w:line="240" w:lineRule="auto"/>
              <w:jc w:val="both"/>
              <w:rPr>
                <w:rFonts w:ascii="Arial Narrow" w:eastAsia="Arial Unicode MS" w:hAnsi="Arial Narrow" w:cs="Calibri"/>
              </w:rPr>
            </w:pPr>
            <w:bookmarkStart w:id="0" w:name="_GoBack"/>
            <w:bookmarkEnd w:id="0"/>
            <w:r w:rsidRPr="003B7367">
              <w:rPr>
                <w:rFonts w:ascii="Arial Narrow" w:hAnsi="Arial Narrow" w:cs="Calibri"/>
              </w:rPr>
              <w:t>Dla 30 kV - LI170/AC70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14.</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wyładowań niezupełnych</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100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15.</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wyładowań niezupełnych izolatorów przepustowych</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10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16.</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zawilgocenia izolacji stałej</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 1</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lastRenderedPageBreak/>
              <w:t>17.</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Maksymalny poziom ciśnienia akustycznego</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dB</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 55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18.</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Chłodzenie</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ind w:right="35"/>
              <w:jc w:val="both"/>
              <w:rPr>
                <w:rFonts w:ascii="Arial Narrow" w:eastAsia="Arial Unicode MS" w:hAnsi="Arial Narrow" w:cs="Calibri"/>
              </w:rPr>
            </w:pPr>
            <w:r w:rsidRPr="003B7367">
              <w:rPr>
                <w:rFonts w:ascii="Arial Narrow" w:eastAsia="Arial Unicode MS" w:hAnsi="Arial Narrow" w:cs="Calibri"/>
              </w:rPr>
              <w:t>ONAN</w:t>
            </w:r>
          </w:p>
        </w:tc>
      </w:tr>
    </w:tbl>
    <w:p w:rsidR="00B26133" w:rsidRPr="003B7367" w:rsidRDefault="00B26133" w:rsidP="00EE0198">
      <w:pPr>
        <w:pStyle w:val="Nagwek3"/>
        <w:keepNext w:val="0"/>
        <w:numPr>
          <w:ilvl w:val="0"/>
          <w:numId w:val="0"/>
        </w:numPr>
        <w:spacing w:after="120"/>
        <w:jc w:val="both"/>
        <w:rPr>
          <w:rFonts w:ascii="Arial Narrow" w:hAnsi="Arial Narrow"/>
          <w:b w:val="0"/>
          <w:color w:val="auto"/>
          <w:sz w:val="22"/>
          <w:szCs w:val="22"/>
          <w:u w:val="single"/>
        </w:rPr>
      </w:pPr>
      <w:r w:rsidRPr="003B7367">
        <w:rPr>
          <w:rFonts w:ascii="Arial Narrow" w:hAnsi="Arial Narrow"/>
          <w:b w:val="0"/>
          <w:color w:val="auto"/>
          <w:sz w:val="22"/>
          <w:szCs w:val="22"/>
          <w:u w:val="single"/>
        </w:rPr>
        <w:t>Tablica 2 Parametry znamionowe transformatorów o mocy 25 MVA</w:t>
      </w:r>
    </w:p>
    <w:tbl>
      <w:tblPr>
        <w:tblW w:w="982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6"/>
        <w:gridCol w:w="6460"/>
        <w:gridCol w:w="586"/>
        <w:gridCol w:w="2250"/>
      </w:tblGrid>
      <w:tr w:rsidR="00B26133" w:rsidRPr="003B7367" w:rsidTr="00356426">
        <w:trPr>
          <w:trHeight w:val="227"/>
        </w:trPr>
        <w:tc>
          <w:tcPr>
            <w:tcW w:w="526"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Lp.</w:t>
            </w:r>
          </w:p>
        </w:tc>
        <w:tc>
          <w:tcPr>
            <w:tcW w:w="6460"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Wyszczególnienie</w:t>
            </w:r>
          </w:p>
        </w:tc>
        <w:tc>
          <w:tcPr>
            <w:tcW w:w="586" w:type="dxa"/>
            <w:tcBorders>
              <w:bottom w:val="single" w:sz="8" w:space="0" w:color="auto"/>
            </w:tcBorders>
            <w:shd w:val="clear" w:color="auto" w:fill="F2DBDB"/>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Jedn.</w:t>
            </w:r>
          </w:p>
        </w:tc>
        <w:tc>
          <w:tcPr>
            <w:tcW w:w="2250" w:type="dxa"/>
            <w:tcBorders>
              <w:bottom w:val="single" w:sz="8" w:space="0" w:color="auto"/>
            </w:tcBorders>
            <w:shd w:val="clear" w:color="auto" w:fill="F2DBDB"/>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Wartości znamionowe</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1.</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Moc</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MVA</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b/>
              </w:rPr>
            </w:pPr>
            <w:r w:rsidRPr="003B7367">
              <w:rPr>
                <w:rFonts w:ascii="Arial Narrow" w:hAnsi="Arial Narrow" w:cs="Calibri"/>
                <w:b/>
              </w:rPr>
              <w:t>25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2.</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Górne napięcie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115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3.</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Dolne napięcie (DN)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511B51">
            <w:pPr>
              <w:spacing w:after="0" w:line="240" w:lineRule="auto"/>
              <w:jc w:val="both"/>
              <w:rPr>
                <w:rFonts w:ascii="Arial Narrow" w:eastAsia="Arial Unicode MS" w:hAnsi="Arial Narrow" w:cs="Calibri"/>
              </w:rPr>
            </w:pPr>
            <w:r w:rsidRPr="003B7367">
              <w:rPr>
                <w:rFonts w:ascii="Arial Narrow" w:hAnsi="Arial Narrow" w:cs="Calibri"/>
              </w:rPr>
              <w:t>16,5</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4.</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Częstotliwość</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Hz</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50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5.</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Regulacja napięcia po stronie GN o stałej mocy zaczepowej</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-/+ 10 **</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6.</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Układ połączeń</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YNd11</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7.</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Rodzaj pracy</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C</w:t>
            </w:r>
          </w:p>
        </w:tc>
      </w:tr>
      <w:tr w:rsidR="00511B51" w:rsidRPr="003B7367" w:rsidTr="00511B51">
        <w:trPr>
          <w:trHeight w:val="227"/>
        </w:trPr>
        <w:tc>
          <w:tcPr>
            <w:tcW w:w="526"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hAnsi="Arial Narrow" w:cs="Calibri"/>
              </w:rPr>
              <w:t>8.</w:t>
            </w:r>
          </w:p>
        </w:tc>
        <w:tc>
          <w:tcPr>
            <w:tcW w:w="6460"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hAnsi="Arial Narrow" w:cs="Calibri"/>
              </w:rPr>
              <w:t>Napięcie zwarcia GN na zaczepie znamionowym oraz na zaczepach skrajnych.</w:t>
            </w:r>
          </w:p>
        </w:tc>
        <w:tc>
          <w:tcPr>
            <w:tcW w:w="586"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hAnsi="Arial Narrow" w:cs="Calibri"/>
              </w:rPr>
            </w:pPr>
          </w:p>
          <w:p w:rsidR="00511B51" w:rsidRPr="003B7367" w:rsidRDefault="00511B51" w:rsidP="00611FE8">
            <w:pPr>
              <w:spacing w:after="0" w:line="240" w:lineRule="auto"/>
              <w:jc w:val="both"/>
              <w:rPr>
                <w:rFonts w:ascii="Arial Narrow" w:hAnsi="Arial Narrow" w:cs="Calibri"/>
              </w:rPr>
            </w:pPr>
            <w:r w:rsidRPr="003B7367">
              <w:rPr>
                <w:rFonts w:ascii="Arial Narrow" w:hAnsi="Arial Narrow" w:cs="Calibri"/>
              </w:rPr>
              <w:t>15-17*</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9.</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Straty stanu jałowego na zaczepie znamionowym z dopuszczalną maksymalną tolerancją +0%</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2250" w:type="dxa"/>
            <w:shd w:val="clear" w:color="auto" w:fill="FFFFFF"/>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 12</w:t>
            </w:r>
          </w:p>
        </w:tc>
      </w:tr>
      <w:tr w:rsidR="00511B51" w:rsidRPr="003B7367" w:rsidTr="00511B51">
        <w:trPr>
          <w:trHeight w:val="227"/>
        </w:trPr>
        <w:tc>
          <w:tcPr>
            <w:tcW w:w="526"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10.</w:t>
            </w:r>
          </w:p>
        </w:tc>
        <w:tc>
          <w:tcPr>
            <w:tcW w:w="6460"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hAnsi="Arial Narrow" w:cs="Calibri"/>
              </w:rPr>
              <w:t xml:space="preserve">Straty obciążeniowe na zaczepie znamionowym z dopuszczalną maksymalną tolerancją +0% </w:t>
            </w:r>
          </w:p>
        </w:tc>
        <w:tc>
          <w:tcPr>
            <w:tcW w:w="586" w:type="dxa"/>
            <w:shd w:val="clear" w:color="auto" w:fill="FFFFFF"/>
            <w:noWrap/>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2250" w:type="dxa"/>
            <w:shd w:val="clear" w:color="auto" w:fill="FFFFFF"/>
            <w:tcMar>
              <w:top w:w="17" w:type="dxa"/>
              <w:left w:w="57" w:type="dxa"/>
              <w:bottom w:w="0" w:type="dxa"/>
              <w:right w:w="57" w:type="dxa"/>
            </w:tcMar>
            <w:vAlign w:val="center"/>
          </w:tcPr>
          <w:p w:rsidR="00511B51" w:rsidRPr="003B7367" w:rsidRDefault="00511B51" w:rsidP="00611FE8">
            <w:pPr>
              <w:spacing w:after="0" w:line="240" w:lineRule="auto"/>
              <w:jc w:val="both"/>
              <w:rPr>
                <w:rFonts w:ascii="Arial Narrow" w:hAnsi="Arial Narrow" w:cs="Calibri"/>
              </w:rPr>
            </w:pPr>
          </w:p>
          <w:p w:rsidR="00511B51" w:rsidRPr="003B7367" w:rsidRDefault="00511B51" w:rsidP="00611FE8">
            <w:pPr>
              <w:spacing w:after="0" w:line="240" w:lineRule="auto"/>
              <w:jc w:val="both"/>
              <w:rPr>
                <w:rFonts w:ascii="Arial Narrow" w:hAnsi="Arial Narrow" w:cs="Calibri"/>
              </w:rPr>
            </w:pPr>
            <w:r w:rsidRPr="003B7367">
              <w:rPr>
                <w:rFonts w:ascii="Arial Narrow" w:hAnsi="Arial Narrow" w:cs="Calibri"/>
              </w:rPr>
              <w:t>≤ 140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11.</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zacisków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LI550/AC230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12.</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zacisku neutralnego GN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LI325/AC140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13.</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Poziom izolacji zacisków DN</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Dla 15 kV - LI95/AC38</w:t>
            </w:r>
          </w:p>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Dla 20 kV - LI125/AC50</w:t>
            </w:r>
          </w:p>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Dla 30 kV - LI170/AC70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14.</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wyładowań niezupełnych</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100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15.</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wyładowań niezupełnych izolatorów przepustowych</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 10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16.</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Poziom zawilgocenia izolacji stałej</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 1</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17.</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Maksymalny poziom ciśnienia akustycznego</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dB</w:t>
            </w:r>
          </w:p>
        </w:tc>
        <w:tc>
          <w:tcPr>
            <w:tcW w:w="2250" w:type="dxa"/>
            <w:shd w:val="clear" w:color="auto" w:fill="FFFFFF"/>
            <w:tcMar>
              <w:left w:w="57" w:type="dxa"/>
              <w:right w:w="57" w:type="dxa"/>
            </w:tcMar>
            <w:vAlign w:val="center"/>
          </w:tcPr>
          <w:p w:rsidR="00B26133" w:rsidRPr="003B7367" w:rsidRDefault="00B26133" w:rsidP="00511B51">
            <w:pPr>
              <w:spacing w:after="0" w:line="240" w:lineRule="auto"/>
              <w:jc w:val="both"/>
              <w:rPr>
                <w:rFonts w:ascii="Arial Narrow" w:eastAsia="Arial Unicode MS" w:hAnsi="Arial Narrow" w:cs="Calibri"/>
              </w:rPr>
            </w:pPr>
            <w:r w:rsidRPr="003B7367">
              <w:rPr>
                <w:rFonts w:ascii="Arial Narrow" w:hAnsi="Arial Narrow" w:cs="Calibri"/>
              </w:rPr>
              <w:t>≤ 60</w:t>
            </w:r>
          </w:p>
        </w:tc>
      </w:tr>
      <w:tr w:rsidR="00B26133" w:rsidRPr="003B7367" w:rsidTr="00356426">
        <w:trPr>
          <w:trHeight w:val="227"/>
        </w:trPr>
        <w:tc>
          <w:tcPr>
            <w:tcW w:w="52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hAnsi="Arial Narrow" w:cs="Calibri"/>
              </w:rPr>
            </w:pPr>
            <w:r w:rsidRPr="003B7367">
              <w:rPr>
                <w:rFonts w:ascii="Arial Narrow" w:hAnsi="Arial Narrow" w:cs="Calibri"/>
              </w:rPr>
              <w:t>18.</w:t>
            </w:r>
          </w:p>
        </w:tc>
        <w:tc>
          <w:tcPr>
            <w:tcW w:w="6460"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hAnsi="Arial Narrow" w:cs="Calibri"/>
              </w:rPr>
              <w:t>Chłodzenie</w:t>
            </w:r>
          </w:p>
        </w:tc>
        <w:tc>
          <w:tcPr>
            <w:tcW w:w="586" w:type="dxa"/>
            <w:shd w:val="clear" w:color="auto" w:fill="FFFFFF"/>
            <w:noWrap/>
            <w:tcMar>
              <w:top w:w="17" w:type="dxa"/>
              <w:left w:w="57" w:type="dxa"/>
              <w:bottom w:w="0" w:type="dxa"/>
              <w:right w:w="57" w:type="dxa"/>
            </w:tcMar>
            <w:vAlign w:val="center"/>
          </w:tcPr>
          <w:p w:rsidR="00B26133" w:rsidRPr="003B7367" w:rsidRDefault="00B26133" w:rsidP="00611FE8">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shd w:val="clear" w:color="auto" w:fill="FFFFFF"/>
            <w:tcMar>
              <w:left w:w="57" w:type="dxa"/>
              <w:right w:w="57" w:type="dxa"/>
            </w:tcMar>
            <w:vAlign w:val="center"/>
          </w:tcPr>
          <w:p w:rsidR="00B26133" w:rsidRPr="003B7367" w:rsidRDefault="00B26133" w:rsidP="00511B51">
            <w:pPr>
              <w:spacing w:after="0" w:line="240" w:lineRule="auto"/>
              <w:ind w:right="35"/>
              <w:jc w:val="both"/>
              <w:rPr>
                <w:rFonts w:ascii="Arial Narrow" w:eastAsia="Arial Unicode MS" w:hAnsi="Arial Narrow" w:cs="Calibri"/>
              </w:rPr>
            </w:pPr>
            <w:r w:rsidRPr="003B7367">
              <w:rPr>
                <w:rFonts w:ascii="Arial Narrow" w:eastAsia="Arial Unicode MS" w:hAnsi="Arial Narrow" w:cs="Calibri"/>
              </w:rPr>
              <w:t>ONAN</w:t>
            </w:r>
          </w:p>
        </w:tc>
      </w:tr>
    </w:tbl>
    <w:p w:rsidR="00872991" w:rsidRPr="003B7367" w:rsidRDefault="00872991" w:rsidP="00872991">
      <w:pPr>
        <w:pStyle w:val="Nagwek3"/>
        <w:keepNext w:val="0"/>
        <w:numPr>
          <w:ilvl w:val="0"/>
          <w:numId w:val="0"/>
        </w:numPr>
        <w:spacing w:after="120"/>
        <w:jc w:val="both"/>
        <w:rPr>
          <w:rFonts w:ascii="Arial Narrow" w:hAnsi="Arial Narrow"/>
          <w:b w:val="0"/>
          <w:color w:val="auto"/>
          <w:sz w:val="22"/>
          <w:szCs w:val="22"/>
          <w:u w:val="single"/>
        </w:rPr>
      </w:pPr>
      <w:r w:rsidRPr="003B7367">
        <w:rPr>
          <w:rFonts w:ascii="Arial Narrow" w:hAnsi="Arial Narrow"/>
          <w:b w:val="0"/>
          <w:color w:val="auto"/>
          <w:sz w:val="22"/>
          <w:szCs w:val="22"/>
          <w:u w:val="single"/>
        </w:rPr>
        <w:t xml:space="preserve">Tablica </w:t>
      </w:r>
      <w:r w:rsidRPr="003B7367">
        <w:rPr>
          <w:rFonts w:ascii="Arial Narrow" w:hAnsi="Arial Narrow"/>
          <w:b w:val="0"/>
          <w:color w:val="auto"/>
          <w:sz w:val="22"/>
          <w:szCs w:val="22"/>
          <w:u w:val="single"/>
          <w:lang w:val="pl-PL"/>
        </w:rPr>
        <w:t>3</w:t>
      </w:r>
      <w:r w:rsidRPr="003B7367">
        <w:rPr>
          <w:rFonts w:ascii="Arial Narrow" w:hAnsi="Arial Narrow"/>
          <w:b w:val="0"/>
          <w:color w:val="auto"/>
          <w:sz w:val="22"/>
          <w:szCs w:val="22"/>
          <w:u w:val="single"/>
        </w:rPr>
        <w:t xml:space="preserve"> Parametry znamionowe transformatorów o mocy </w:t>
      </w:r>
      <w:r w:rsidRPr="003B7367">
        <w:rPr>
          <w:rFonts w:ascii="Arial Narrow" w:hAnsi="Arial Narrow"/>
          <w:b w:val="0"/>
          <w:color w:val="auto"/>
          <w:sz w:val="22"/>
          <w:szCs w:val="22"/>
          <w:u w:val="single"/>
          <w:lang w:val="pl-PL"/>
        </w:rPr>
        <w:t>31,5</w:t>
      </w:r>
      <w:r w:rsidRPr="003B7367">
        <w:rPr>
          <w:rFonts w:ascii="Arial Narrow" w:hAnsi="Arial Narrow"/>
          <w:b w:val="0"/>
          <w:color w:val="auto"/>
          <w:sz w:val="22"/>
          <w:szCs w:val="22"/>
          <w:u w:val="single"/>
        </w:rPr>
        <w:t xml:space="preserve"> MVA</w:t>
      </w:r>
    </w:p>
    <w:tbl>
      <w:tblPr>
        <w:tblW w:w="9822" w:type="dxa"/>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26"/>
        <w:gridCol w:w="6460"/>
        <w:gridCol w:w="586"/>
        <w:gridCol w:w="1266"/>
        <w:gridCol w:w="984"/>
      </w:tblGrid>
      <w:tr w:rsidR="00872991" w:rsidRPr="003B7367" w:rsidTr="00872991">
        <w:trPr>
          <w:trHeight w:val="227"/>
        </w:trPr>
        <w:tc>
          <w:tcPr>
            <w:tcW w:w="526" w:type="dxa"/>
            <w:tcBorders>
              <w:bottom w:val="single" w:sz="8" w:space="0" w:color="auto"/>
            </w:tcBorders>
            <w:shd w:val="clear" w:color="auto" w:fill="F2DBDB"/>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b/>
              </w:rPr>
            </w:pPr>
            <w:r w:rsidRPr="003B7367">
              <w:rPr>
                <w:rFonts w:ascii="Arial Narrow" w:hAnsi="Arial Narrow" w:cs="Calibri"/>
                <w:b/>
              </w:rPr>
              <w:t>Lp.</w:t>
            </w:r>
          </w:p>
        </w:tc>
        <w:tc>
          <w:tcPr>
            <w:tcW w:w="6460" w:type="dxa"/>
            <w:tcBorders>
              <w:bottom w:val="single" w:sz="8" w:space="0" w:color="auto"/>
            </w:tcBorders>
            <w:shd w:val="clear" w:color="auto" w:fill="F2DBDB"/>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b/>
              </w:rPr>
            </w:pPr>
            <w:r w:rsidRPr="003B7367">
              <w:rPr>
                <w:rFonts w:ascii="Arial Narrow" w:hAnsi="Arial Narrow" w:cs="Calibri"/>
                <w:b/>
              </w:rPr>
              <w:t>Wyszczególnienie</w:t>
            </w:r>
          </w:p>
        </w:tc>
        <w:tc>
          <w:tcPr>
            <w:tcW w:w="586" w:type="dxa"/>
            <w:tcBorders>
              <w:bottom w:val="single" w:sz="8" w:space="0" w:color="auto"/>
            </w:tcBorders>
            <w:shd w:val="clear" w:color="auto" w:fill="F2DBDB"/>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b/>
              </w:rPr>
            </w:pPr>
            <w:r w:rsidRPr="003B7367">
              <w:rPr>
                <w:rFonts w:ascii="Arial Narrow" w:hAnsi="Arial Narrow" w:cs="Calibri"/>
                <w:b/>
              </w:rPr>
              <w:t>Jedn.</w:t>
            </w:r>
          </w:p>
        </w:tc>
        <w:tc>
          <w:tcPr>
            <w:tcW w:w="2250" w:type="dxa"/>
            <w:gridSpan w:val="2"/>
            <w:tcBorders>
              <w:bottom w:val="single" w:sz="8" w:space="0" w:color="auto"/>
            </w:tcBorders>
            <w:shd w:val="clear" w:color="auto" w:fill="F2DBDB"/>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b/>
              </w:rPr>
            </w:pPr>
            <w:r w:rsidRPr="003B7367">
              <w:rPr>
                <w:rFonts w:ascii="Arial Narrow" w:hAnsi="Arial Narrow" w:cs="Calibri"/>
                <w:b/>
              </w:rPr>
              <w:t>Wartości znamionowe</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1.</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Moc</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MVA</w:t>
            </w:r>
          </w:p>
        </w:tc>
        <w:tc>
          <w:tcPr>
            <w:tcW w:w="2250" w:type="dxa"/>
            <w:gridSpan w:val="2"/>
            <w:shd w:val="clear" w:color="auto" w:fill="FFFFFF"/>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b/>
              </w:rPr>
            </w:pPr>
            <w:r w:rsidRPr="003B7367">
              <w:rPr>
                <w:rFonts w:ascii="Arial Narrow" w:hAnsi="Arial Narrow" w:cs="Calibri"/>
                <w:b/>
              </w:rPr>
              <w:t>31,5</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2.</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Górne napięcie (GN)</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115</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3.</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Dolne napięcie (DN)</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gridSpan w:val="2"/>
            <w:shd w:val="clear" w:color="auto" w:fill="FFFFFF"/>
            <w:tcMar>
              <w:left w:w="57" w:type="dxa"/>
              <w:right w:w="57" w:type="dxa"/>
            </w:tcMar>
            <w:vAlign w:val="center"/>
          </w:tcPr>
          <w:p w:rsidR="00872991" w:rsidRPr="003B7367" w:rsidRDefault="00872991" w:rsidP="00511B51">
            <w:pPr>
              <w:spacing w:after="0" w:line="240" w:lineRule="auto"/>
              <w:jc w:val="both"/>
              <w:rPr>
                <w:rFonts w:ascii="Arial Narrow" w:eastAsia="Arial Unicode MS" w:hAnsi="Arial Narrow" w:cs="Calibri"/>
              </w:rPr>
            </w:pPr>
            <w:r w:rsidRPr="003B7367">
              <w:rPr>
                <w:rFonts w:ascii="Arial Narrow" w:hAnsi="Arial Narrow" w:cs="Calibri"/>
              </w:rPr>
              <w:t>16,5</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4.</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Częstotliwość</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Hz</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50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5.</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Regulacja napięcia po stronie GN o stałej mocy zaczepowej</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-/+ 10 **</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6.</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Układ połączeń</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YNd11</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7.</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Rodzaj pracy</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C</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8.</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Napięcie zwarcia GN na zaczepie znamionowym oraz na zaczepach skrajnych.</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1266" w:type="dxa"/>
            <w:shd w:val="clear" w:color="auto" w:fill="FFFFFF"/>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p>
        </w:tc>
        <w:tc>
          <w:tcPr>
            <w:tcW w:w="984" w:type="dxa"/>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15-17*</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9.</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Straty stanu jałowego na zaczepie znamionowym z dopuszczalną maksymalną tolerancją +0%</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2250" w:type="dxa"/>
            <w:gridSpan w:val="2"/>
            <w:shd w:val="clear" w:color="auto" w:fill="FFFFFF"/>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 12</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10.</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 xml:space="preserve">Straty obciążeniowe na zaczepie znamionowym z dopuszczalną maksymalną tolerancją +0% </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kW</w:t>
            </w:r>
          </w:p>
        </w:tc>
        <w:tc>
          <w:tcPr>
            <w:tcW w:w="1266" w:type="dxa"/>
            <w:shd w:val="clear" w:color="auto" w:fill="FFFFFF"/>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p>
        </w:tc>
        <w:tc>
          <w:tcPr>
            <w:tcW w:w="984" w:type="dxa"/>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 140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11.</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Poziom izolacji zacisków GN</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LI550/AC230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12.</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Poziom izolacji zacisku neutralnego GN</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LI325/AC140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13.</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Poziom izolacji zacisków DN</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kV</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Dla 15 kV - LI95/AC38</w:t>
            </w:r>
          </w:p>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Dla 20 kV - LI125/AC50</w:t>
            </w:r>
          </w:p>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Dla 30 kV - LI170/AC70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14.</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Poziom wyładowań niezupełnych</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 100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15.</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Poziom wyładowań niezupełnych izolatorów przepustowych</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pC</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 10</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16.</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Poziom zawilgocenia izolacji stałej</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 1</w:t>
            </w:r>
          </w:p>
        </w:tc>
      </w:tr>
      <w:tr w:rsidR="00872991" w:rsidRPr="003B7367"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17.</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Maksymalny poziom ciśnienia akustycznego</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dB</w:t>
            </w:r>
          </w:p>
        </w:tc>
        <w:tc>
          <w:tcPr>
            <w:tcW w:w="2250" w:type="dxa"/>
            <w:gridSpan w:val="2"/>
            <w:shd w:val="clear" w:color="auto" w:fill="FFFFFF"/>
            <w:tcMar>
              <w:left w:w="57"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 64(ONAF)</w:t>
            </w:r>
          </w:p>
        </w:tc>
      </w:tr>
      <w:tr w:rsidR="00872991" w:rsidRPr="00EE0198" w:rsidTr="00872991">
        <w:trPr>
          <w:trHeight w:val="227"/>
        </w:trPr>
        <w:tc>
          <w:tcPr>
            <w:tcW w:w="52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hAnsi="Arial Narrow" w:cs="Calibri"/>
              </w:rPr>
            </w:pPr>
            <w:r w:rsidRPr="003B7367">
              <w:rPr>
                <w:rFonts w:ascii="Arial Narrow" w:hAnsi="Arial Narrow" w:cs="Calibri"/>
              </w:rPr>
              <w:t>18.</w:t>
            </w:r>
          </w:p>
        </w:tc>
        <w:tc>
          <w:tcPr>
            <w:tcW w:w="6460"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hAnsi="Arial Narrow" w:cs="Calibri"/>
              </w:rPr>
              <w:t>Chłodzenie</w:t>
            </w:r>
          </w:p>
        </w:tc>
        <w:tc>
          <w:tcPr>
            <w:tcW w:w="586" w:type="dxa"/>
            <w:shd w:val="clear" w:color="auto" w:fill="FFFFFF"/>
            <w:noWrap/>
            <w:tcMar>
              <w:top w:w="17" w:type="dxa"/>
              <w:left w:w="57" w:type="dxa"/>
              <w:bottom w:w="0" w:type="dxa"/>
              <w:right w:w="57" w:type="dxa"/>
            </w:tcMar>
            <w:vAlign w:val="center"/>
          </w:tcPr>
          <w:p w:rsidR="00872991" w:rsidRPr="003B7367" w:rsidRDefault="00872991" w:rsidP="00872991">
            <w:pPr>
              <w:spacing w:after="0" w:line="240" w:lineRule="auto"/>
              <w:jc w:val="both"/>
              <w:rPr>
                <w:rFonts w:ascii="Arial Narrow" w:eastAsia="Arial Unicode MS" w:hAnsi="Arial Narrow" w:cs="Calibri"/>
              </w:rPr>
            </w:pPr>
            <w:r w:rsidRPr="003B7367">
              <w:rPr>
                <w:rFonts w:ascii="Arial Narrow" w:eastAsia="Arial Unicode MS" w:hAnsi="Arial Narrow" w:cs="Calibri"/>
              </w:rPr>
              <w:t>-</w:t>
            </w:r>
          </w:p>
        </w:tc>
        <w:tc>
          <w:tcPr>
            <w:tcW w:w="2250" w:type="dxa"/>
            <w:gridSpan w:val="2"/>
            <w:shd w:val="clear" w:color="auto" w:fill="FFFFFF"/>
            <w:tcMar>
              <w:left w:w="57" w:type="dxa"/>
              <w:right w:w="57" w:type="dxa"/>
            </w:tcMar>
            <w:vAlign w:val="center"/>
          </w:tcPr>
          <w:p w:rsidR="00872991" w:rsidRPr="00EE0198" w:rsidRDefault="00872991" w:rsidP="00872991">
            <w:pPr>
              <w:spacing w:after="0" w:line="240" w:lineRule="auto"/>
              <w:ind w:right="35"/>
              <w:jc w:val="both"/>
              <w:rPr>
                <w:rFonts w:ascii="Arial Narrow" w:eastAsia="Arial Unicode MS" w:hAnsi="Arial Narrow" w:cs="Calibri"/>
              </w:rPr>
            </w:pPr>
            <w:r w:rsidRPr="003B7367">
              <w:rPr>
                <w:rFonts w:ascii="Arial Narrow" w:eastAsia="Arial Unicode MS" w:hAnsi="Arial Narrow" w:cs="Calibri"/>
              </w:rPr>
              <w:t>ONAF</w:t>
            </w:r>
          </w:p>
        </w:tc>
      </w:tr>
    </w:tbl>
    <w:p w:rsidR="00BB5935" w:rsidRPr="00EE0198" w:rsidRDefault="00BB5935" w:rsidP="00611FE8">
      <w:pPr>
        <w:spacing w:before="60" w:after="60" w:line="240" w:lineRule="auto"/>
        <w:ind w:left="-142"/>
        <w:jc w:val="both"/>
        <w:rPr>
          <w:rFonts w:ascii="Arial Narrow" w:hAnsi="Arial Narrow"/>
          <w:lang w:eastAsia="pl-PL"/>
        </w:rPr>
      </w:pPr>
      <w:r w:rsidRPr="00EE0198">
        <w:rPr>
          <w:rFonts w:ascii="Arial Narrow" w:hAnsi="Arial Narrow"/>
        </w:rPr>
        <w:lastRenderedPageBreak/>
        <w:t>*)</w:t>
      </w:r>
      <w:r w:rsidR="00511B51">
        <w:rPr>
          <w:rFonts w:ascii="Arial Narrow" w:hAnsi="Arial Narrow"/>
        </w:rPr>
        <w:t>watrość</w:t>
      </w:r>
      <w:r w:rsidRPr="00EE0198">
        <w:rPr>
          <w:rFonts w:ascii="Arial Narrow" w:hAnsi="Arial Narrow"/>
        </w:rPr>
        <w:t xml:space="preserve"> napięci</w:t>
      </w:r>
      <w:r w:rsidR="00511B51">
        <w:rPr>
          <w:rFonts w:ascii="Arial Narrow" w:hAnsi="Arial Narrow"/>
        </w:rPr>
        <w:t>a</w:t>
      </w:r>
      <w:r w:rsidRPr="00EE0198">
        <w:rPr>
          <w:rFonts w:ascii="Arial Narrow" w:hAnsi="Arial Narrow"/>
        </w:rPr>
        <w:t xml:space="preserve"> zwarcia </w:t>
      </w:r>
      <w:r w:rsidR="00511B51">
        <w:rPr>
          <w:rFonts w:ascii="Arial Narrow" w:hAnsi="Arial Narrow"/>
        </w:rPr>
        <w:t>na zaczepie znamionowym</w:t>
      </w:r>
      <w:r w:rsidR="00362B32" w:rsidRPr="00C91138">
        <w:rPr>
          <w:rFonts w:ascii="Arial Narrow" w:hAnsi="Arial Narrow"/>
          <w:lang w:eastAsia="pl-PL"/>
        </w:rPr>
        <w:t>został</w:t>
      </w:r>
      <w:r w:rsidR="00511B51">
        <w:rPr>
          <w:rFonts w:ascii="Arial Narrow" w:hAnsi="Arial Narrow"/>
          <w:lang w:eastAsia="pl-PL"/>
        </w:rPr>
        <w:t>a</w:t>
      </w:r>
      <w:r w:rsidR="00362B32" w:rsidRPr="00C91138">
        <w:rPr>
          <w:rFonts w:ascii="Arial Narrow" w:hAnsi="Arial Narrow"/>
          <w:lang w:eastAsia="pl-PL"/>
        </w:rPr>
        <w:t xml:space="preserve"> określon</w:t>
      </w:r>
      <w:r w:rsidR="00511B51">
        <w:rPr>
          <w:rFonts w:ascii="Arial Narrow" w:hAnsi="Arial Narrow"/>
          <w:lang w:eastAsia="pl-PL"/>
        </w:rPr>
        <w:t>a</w:t>
      </w:r>
      <w:r w:rsidRPr="00EE0198">
        <w:rPr>
          <w:rFonts w:ascii="Arial Narrow" w:hAnsi="Arial Narrow"/>
          <w:lang w:eastAsia="pl-PL"/>
        </w:rPr>
        <w:t xml:space="preserve"> w SIWZ.</w:t>
      </w:r>
    </w:p>
    <w:p w:rsidR="00BB5935" w:rsidRPr="00EE0198" w:rsidRDefault="00BB5935" w:rsidP="00611FE8">
      <w:pPr>
        <w:spacing w:after="120" w:line="240" w:lineRule="auto"/>
        <w:ind w:left="-142"/>
        <w:jc w:val="both"/>
        <w:rPr>
          <w:rFonts w:ascii="Arial Narrow" w:hAnsi="Arial Narrow"/>
        </w:rPr>
      </w:pPr>
      <w:r w:rsidRPr="00EE0198">
        <w:rPr>
          <w:rFonts w:ascii="Arial Narrow" w:hAnsi="Arial Narrow"/>
          <w:lang w:eastAsia="pl-PL"/>
        </w:rPr>
        <w:t xml:space="preserve">**) ilość stopni regulacji </w:t>
      </w:r>
      <w:r w:rsidR="00362B32" w:rsidRPr="00EE0198">
        <w:rPr>
          <w:rFonts w:ascii="Arial Narrow" w:hAnsi="Arial Narrow"/>
          <w:lang w:eastAsia="pl-PL"/>
        </w:rPr>
        <w:t>zosta</w:t>
      </w:r>
      <w:r w:rsidR="00362B32">
        <w:rPr>
          <w:rFonts w:ascii="Arial Narrow" w:hAnsi="Arial Narrow"/>
          <w:lang w:eastAsia="pl-PL"/>
        </w:rPr>
        <w:t>ła</w:t>
      </w:r>
      <w:r w:rsidR="00362B32" w:rsidRPr="00EE0198">
        <w:rPr>
          <w:rFonts w:ascii="Arial Narrow" w:hAnsi="Arial Narrow"/>
          <w:lang w:eastAsia="pl-PL"/>
        </w:rPr>
        <w:t xml:space="preserve"> </w:t>
      </w:r>
      <w:r w:rsidR="00362B32">
        <w:rPr>
          <w:rFonts w:ascii="Arial Narrow" w:hAnsi="Arial Narrow"/>
          <w:lang w:eastAsia="pl-PL"/>
        </w:rPr>
        <w:t>określona</w:t>
      </w:r>
      <w:r w:rsidRPr="00EE0198">
        <w:rPr>
          <w:rFonts w:ascii="Arial Narrow" w:hAnsi="Arial Narrow"/>
          <w:lang w:eastAsia="pl-PL"/>
        </w:rPr>
        <w:t xml:space="preserve"> w SIWZ</w:t>
      </w:r>
    </w:p>
    <w:p w:rsidR="00B26133" w:rsidRPr="00EE0198" w:rsidRDefault="00B26133" w:rsidP="00F96570">
      <w:pPr>
        <w:pStyle w:val="Nagwek2"/>
        <w:spacing w:before="120" w:after="0"/>
        <w:ind w:left="425" w:hanging="425"/>
        <w:jc w:val="both"/>
        <w:rPr>
          <w:rFonts w:ascii="Arial Narrow" w:hAnsi="Arial Narrow"/>
          <w:b w:val="0"/>
          <w:i w:val="0"/>
          <w:color w:val="auto"/>
          <w:sz w:val="22"/>
          <w:szCs w:val="22"/>
        </w:rPr>
      </w:pPr>
      <w:r w:rsidRPr="00EE0198">
        <w:rPr>
          <w:rFonts w:ascii="Arial Narrow" w:hAnsi="Arial Narrow"/>
          <w:b w:val="0"/>
          <w:i w:val="0"/>
          <w:color w:val="auto"/>
          <w:sz w:val="22"/>
          <w:szCs w:val="22"/>
        </w:rPr>
        <w:t>Część aktywna transformatora:</w:t>
      </w:r>
    </w:p>
    <w:p w:rsidR="00B26133" w:rsidRPr="00EE0198" w:rsidRDefault="00B26133" w:rsidP="005C0353">
      <w:pPr>
        <w:pStyle w:val="Akapitzlist"/>
        <w:keepNext/>
        <w:numPr>
          <w:ilvl w:val="0"/>
          <w:numId w:val="3"/>
        </w:numPr>
        <w:spacing w:after="0" w:line="240" w:lineRule="auto"/>
        <w:ind w:left="709" w:hanging="284"/>
        <w:jc w:val="both"/>
        <w:rPr>
          <w:rFonts w:ascii="Arial Narrow" w:hAnsi="Arial Narrow"/>
        </w:rPr>
      </w:pPr>
      <w:r w:rsidRPr="00EE0198">
        <w:rPr>
          <w:rFonts w:ascii="Arial Narrow" w:hAnsi="Arial Narrow"/>
        </w:rPr>
        <w:t xml:space="preserve">rdzeń: </w:t>
      </w:r>
    </w:p>
    <w:p w:rsidR="00B26133" w:rsidRPr="00EE0198" w:rsidRDefault="00B26133" w:rsidP="00F0557E">
      <w:pPr>
        <w:pStyle w:val="Akapitzlist"/>
        <w:numPr>
          <w:ilvl w:val="1"/>
          <w:numId w:val="3"/>
        </w:numPr>
        <w:spacing w:after="0" w:line="240" w:lineRule="auto"/>
        <w:ind w:left="936" w:hanging="227"/>
        <w:jc w:val="both"/>
        <w:rPr>
          <w:rFonts w:ascii="Arial Narrow" w:hAnsi="Arial Narrow"/>
        </w:rPr>
      </w:pPr>
      <w:r w:rsidRPr="00EE0198">
        <w:rPr>
          <w:rFonts w:ascii="Arial Narrow" w:hAnsi="Arial Narrow" w:cs="Calibri"/>
        </w:rPr>
        <w:t>rdzeń wykonany z blachy transformatorowej,</w:t>
      </w:r>
    </w:p>
    <w:p w:rsidR="00B26133" w:rsidRPr="00F0557E" w:rsidRDefault="00B26133" w:rsidP="00F0557E">
      <w:pPr>
        <w:pStyle w:val="Akapitzlist"/>
        <w:numPr>
          <w:ilvl w:val="1"/>
          <w:numId w:val="3"/>
        </w:numPr>
        <w:spacing w:after="0" w:line="240" w:lineRule="auto"/>
        <w:ind w:left="936" w:hanging="227"/>
        <w:jc w:val="both"/>
        <w:rPr>
          <w:rFonts w:ascii="Arial Narrow" w:hAnsi="Arial Narrow"/>
          <w:spacing w:val="-2"/>
        </w:rPr>
      </w:pPr>
      <w:r w:rsidRPr="00F0557E">
        <w:rPr>
          <w:rFonts w:ascii="Arial Narrow" w:hAnsi="Arial Narrow"/>
          <w:spacing w:val="-2"/>
        </w:rPr>
        <w:t>zablokowany w celu zapewnienia niezmienności właściwości mechanicznych w trakcie transportu i eksploatacji,</w:t>
      </w:r>
    </w:p>
    <w:p w:rsidR="00B26133" w:rsidRPr="00EE0198" w:rsidRDefault="00B26133" w:rsidP="005C0353">
      <w:pPr>
        <w:pStyle w:val="Akapitzlist"/>
        <w:numPr>
          <w:ilvl w:val="0"/>
          <w:numId w:val="3"/>
        </w:numPr>
        <w:spacing w:after="0" w:line="240" w:lineRule="auto"/>
        <w:ind w:left="709" w:hanging="284"/>
        <w:jc w:val="both"/>
        <w:rPr>
          <w:rFonts w:ascii="Arial Narrow" w:hAnsi="Arial Narrow"/>
        </w:rPr>
      </w:pPr>
      <w:r w:rsidRPr="00EE0198">
        <w:rPr>
          <w:rFonts w:ascii="Arial Narrow" w:hAnsi="Arial Narrow"/>
        </w:rPr>
        <w:t>uzwojenia GN i DN:</w:t>
      </w:r>
    </w:p>
    <w:p w:rsidR="00B26133" w:rsidRPr="00EE0198" w:rsidRDefault="00B26133" w:rsidP="00F0557E">
      <w:pPr>
        <w:pStyle w:val="Akapitzlist"/>
        <w:numPr>
          <w:ilvl w:val="1"/>
          <w:numId w:val="3"/>
        </w:numPr>
        <w:spacing w:after="0" w:line="240" w:lineRule="auto"/>
        <w:ind w:left="936" w:hanging="227"/>
        <w:jc w:val="both"/>
        <w:rPr>
          <w:rFonts w:ascii="Arial Narrow" w:hAnsi="Arial Narrow"/>
        </w:rPr>
      </w:pPr>
      <w:r w:rsidRPr="00EE0198">
        <w:rPr>
          <w:rFonts w:ascii="Arial Narrow" w:hAnsi="Arial Narrow"/>
        </w:rPr>
        <w:t>wykonane z przewodów z miedzi elektrolitycznej, </w:t>
      </w:r>
    </w:p>
    <w:p w:rsidR="00B26133" w:rsidRPr="00EE0198" w:rsidRDefault="00B26133" w:rsidP="00F0557E">
      <w:pPr>
        <w:pStyle w:val="Akapitzlist"/>
        <w:numPr>
          <w:ilvl w:val="1"/>
          <w:numId w:val="3"/>
        </w:numPr>
        <w:spacing w:after="0" w:line="240" w:lineRule="auto"/>
        <w:ind w:left="936" w:hanging="227"/>
        <w:jc w:val="both"/>
        <w:rPr>
          <w:rFonts w:ascii="Arial Narrow" w:hAnsi="Arial Narrow"/>
        </w:rPr>
      </w:pPr>
      <w:r w:rsidRPr="00EE0198">
        <w:rPr>
          <w:rFonts w:ascii="Arial Narrow" w:hAnsi="Arial Narrow"/>
        </w:rPr>
        <w:t>połączenia zamocowane w sposób zapewniający niezmienność właściwości mechanicznych w trakcie transportu i eksploatacji, w szczególności podczas zwarć jedno- i wielofazowych,</w:t>
      </w:r>
    </w:p>
    <w:p w:rsidR="00B26133" w:rsidRPr="00FC2556" w:rsidRDefault="00B26133" w:rsidP="005C0353">
      <w:pPr>
        <w:pStyle w:val="Akapitzlist"/>
        <w:numPr>
          <w:ilvl w:val="0"/>
          <w:numId w:val="3"/>
        </w:numPr>
        <w:spacing w:after="0" w:line="240" w:lineRule="auto"/>
        <w:ind w:left="709" w:hanging="284"/>
        <w:jc w:val="both"/>
        <w:rPr>
          <w:rFonts w:ascii="Arial Narrow" w:hAnsi="Arial Narrow" w:cs="Calibri"/>
          <w:color w:val="0D0D0D" w:themeColor="text1" w:themeTint="F2"/>
        </w:rPr>
      </w:pPr>
      <w:r w:rsidRPr="00EE0198">
        <w:rPr>
          <w:rFonts w:ascii="Arial Narrow" w:hAnsi="Arial Narrow" w:cs="Calibri"/>
        </w:rPr>
        <w:t xml:space="preserve">izolatory przepustowe GN o napięciu znamionowym 123 kV, olejowe, kondensatorowe o izolacji zewnętrznej porcelanowej lub kompozytowej, wyposażone w </w:t>
      </w:r>
      <w:r w:rsidRPr="00FC2556">
        <w:rPr>
          <w:rFonts w:ascii="Arial Narrow" w:hAnsi="Arial Narrow" w:cs="Calibri"/>
          <w:color w:val="0D0D0D" w:themeColor="text1" w:themeTint="F2"/>
        </w:rPr>
        <w:t xml:space="preserve">zaciski pomiarowe oraz w zaciski do pionowego podłączania przewodów, </w:t>
      </w:r>
    </w:p>
    <w:p w:rsidR="00B26133" w:rsidRPr="003B7367" w:rsidRDefault="00B26133" w:rsidP="005C0353">
      <w:pPr>
        <w:pStyle w:val="Akapitzlist"/>
        <w:numPr>
          <w:ilvl w:val="0"/>
          <w:numId w:val="3"/>
        </w:numPr>
        <w:spacing w:after="0" w:line="240" w:lineRule="auto"/>
        <w:ind w:left="709" w:hanging="284"/>
        <w:jc w:val="both"/>
        <w:rPr>
          <w:rFonts w:ascii="Arial Narrow" w:hAnsi="Arial Narrow" w:cs="Calibri"/>
          <w:color w:val="0D0D0D" w:themeColor="text1" w:themeTint="F2"/>
        </w:rPr>
      </w:pPr>
      <w:r w:rsidRPr="003B7367">
        <w:rPr>
          <w:rFonts w:ascii="Arial Narrow" w:hAnsi="Arial Narrow" w:cs="Calibri"/>
          <w:color w:val="0D0D0D" w:themeColor="text1" w:themeTint="F2"/>
        </w:rPr>
        <w:t xml:space="preserve">izolator przepustowy GN punktu neutralnego o napięciu znamionowym </w:t>
      </w:r>
      <w:r w:rsidR="00224D11" w:rsidRPr="003B7367">
        <w:rPr>
          <w:rFonts w:ascii="Arial Narrow" w:hAnsi="Arial Narrow" w:cs="Calibri"/>
          <w:color w:val="0D0D0D" w:themeColor="text1" w:themeTint="F2"/>
        </w:rPr>
        <w:t>72,5</w:t>
      </w:r>
      <w:r w:rsidRPr="003B7367">
        <w:rPr>
          <w:rFonts w:ascii="Arial Narrow" w:hAnsi="Arial Narrow" w:cs="Calibri"/>
          <w:color w:val="0D0D0D" w:themeColor="text1" w:themeTint="F2"/>
        </w:rPr>
        <w:t xml:space="preserve"> kV, kondensatorowy</w:t>
      </w:r>
      <w:r w:rsidR="00EE0198" w:rsidRPr="003B7367">
        <w:rPr>
          <w:rFonts w:ascii="Arial Narrow" w:hAnsi="Arial Narrow" w:cs="Calibri"/>
          <w:color w:val="0D0D0D" w:themeColor="text1" w:themeTint="F2"/>
        </w:rPr>
        <w:t xml:space="preserve"> </w:t>
      </w:r>
      <w:r w:rsidRPr="003B7367">
        <w:rPr>
          <w:rFonts w:ascii="Arial Narrow" w:hAnsi="Arial Narrow" w:cs="Calibri"/>
          <w:color w:val="0D0D0D" w:themeColor="text1" w:themeTint="F2"/>
        </w:rPr>
        <w:t>o izolacji zewnętrznej porcelanowej lub kompozytowej, wyposażony w zacisk pomiarowy oraz</w:t>
      </w:r>
      <w:r w:rsidR="00EE0198" w:rsidRPr="003B7367">
        <w:rPr>
          <w:rFonts w:ascii="Arial Narrow" w:hAnsi="Arial Narrow" w:cs="Calibri"/>
          <w:color w:val="0D0D0D" w:themeColor="text1" w:themeTint="F2"/>
        </w:rPr>
        <w:t xml:space="preserve"> </w:t>
      </w:r>
      <w:r w:rsidRPr="003B7367">
        <w:rPr>
          <w:rFonts w:ascii="Arial Narrow" w:hAnsi="Arial Narrow" w:cs="Calibri"/>
          <w:color w:val="0D0D0D" w:themeColor="text1" w:themeTint="F2"/>
        </w:rPr>
        <w:t>w zacisk do pionowego podłączania przewodów,</w:t>
      </w:r>
    </w:p>
    <w:p w:rsidR="00142D24" w:rsidRPr="003B7367" w:rsidRDefault="00B26133" w:rsidP="005C0353">
      <w:pPr>
        <w:pStyle w:val="Akapitzlist"/>
        <w:numPr>
          <w:ilvl w:val="0"/>
          <w:numId w:val="3"/>
        </w:numPr>
        <w:spacing w:after="0" w:line="240" w:lineRule="auto"/>
        <w:ind w:left="709" w:hanging="284"/>
        <w:jc w:val="both"/>
        <w:rPr>
          <w:rFonts w:ascii="Arial Narrow" w:hAnsi="Arial Narrow" w:cs="Calibri"/>
          <w:color w:val="0D0D0D" w:themeColor="text1" w:themeTint="F2"/>
        </w:rPr>
      </w:pPr>
      <w:r w:rsidRPr="003B7367">
        <w:rPr>
          <w:rFonts w:ascii="Arial Narrow" w:hAnsi="Arial Narrow" w:cs="Calibri"/>
          <w:color w:val="0D0D0D" w:themeColor="text1" w:themeTint="F2"/>
        </w:rPr>
        <w:t>izolatory przepustowe DN wtykowe o stożku</w:t>
      </w:r>
      <w:r w:rsidR="00142D24" w:rsidRPr="003B7367">
        <w:rPr>
          <w:rFonts w:ascii="Arial Narrow" w:hAnsi="Arial Narrow" w:cs="Calibri"/>
          <w:color w:val="0D0D0D" w:themeColor="text1" w:themeTint="F2"/>
        </w:rPr>
        <w:t>:</w:t>
      </w:r>
    </w:p>
    <w:p w:rsidR="00142D24" w:rsidRPr="003B7367" w:rsidRDefault="00142D24" w:rsidP="00F0557E">
      <w:pPr>
        <w:spacing w:after="0" w:line="240" w:lineRule="auto"/>
        <w:ind w:left="851" w:hanging="142"/>
        <w:jc w:val="both"/>
        <w:rPr>
          <w:rFonts w:ascii="Arial Narrow" w:hAnsi="Arial Narrow" w:cs="Calibri"/>
          <w:color w:val="0D0D0D" w:themeColor="text1" w:themeTint="F2"/>
          <w:spacing w:val="-2"/>
        </w:rPr>
      </w:pPr>
      <w:r w:rsidRPr="003B7367">
        <w:rPr>
          <w:rFonts w:ascii="Arial Narrow" w:hAnsi="Arial Narrow" w:cs="Calibri"/>
          <w:color w:val="0D0D0D" w:themeColor="text1" w:themeTint="F2"/>
          <w:spacing w:val="-2"/>
        </w:rPr>
        <w:t>- wewnętrznym</w:t>
      </w:r>
      <w:r w:rsidR="00F0557E" w:rsidRPr="003B7367">
        <w:rPr>
          <w:rFonts w:ascii="Arial Narrow" w:hAnsi="Arial Narrow" w:cs="Calibri"/>
          <w:color w:val="0D0D0D" w:themeColor="text1" w:themeTint="F2"/>
          <w:spacing w:val="-2"/>
        </w:rPr>
        <w:t xml:space="preserve"> – umożliwiające podłączenie do 3 kabli na fazę oraz zainstalowanie ogranicznika przepięć. W ramach dostawy przepust ma być wyposażony w ogranicznik przepięć i co najmniej jedną zaślepkę izolacyjną.</w:t>
      </w:r>
    </w:p>
    <w:p w:rsidR="00DE747F" w:rsidRPr="003B7367" w:rsidRDefault="00142D24" w:rsidP="00F0557E">
      <w:pPr>
        <w:spacing w:after="0" w:line="240" w:lineRule="auto"/>
        <w:ind w:left="851" w:hanging="142"/>
        <w:jc w:val="both"/>
        <w:rPr>
          <w:rFonts w:ascii="Arial Narrow" w:hAnsi="Arial Narrow" w:cs="Calibri"/>
          <w:color w:val="0D0D0D" w:themeColor="text1" w:themeTint="F2"/>
        </w:rPr>
      </w:pPr>
      <w:r w:rsidRPr="003B7367">
        <w:rPr>
          <w:rFonts w:ascii="Arial Narrow" w:hAnsi="Arial Narrow" w:cs="Calibri"/>
          <w:color w:val="0D0D0D" w:themeColor="text1" w:themeTint="F2"/>
        </w:rPr>
        <w:t>-</w:t>
      </w:r>
      <w:r w:rsidR="00DE747F" w:rsidRPr="003B7367">
        <w:rPr>
          <w:rFonts w:ascii="Arial Narrow" w:hAnsi="Arial Narrow" w:cs="Calibri"/>
          <w:color w:val="0D0D0D" w:themeColor="text1" w:themeTint="F2"/>
        </w:rPr>
        <w:t xml:space="preserve"> </w:t>
      </w:r>
      <w:r w:rsidRPr="003B7367">
        <w:rPr>
          <w:rFonts w:ascii="Arial Narrow" w:hAnsi="Arial Narrow" w:cs="Calibri"/>
          <w:color w:val="0D0D0D" w:themeColor="text1" w:themeTint="F2"/>
        </w:rPr>
        <w:t>zewnętrznym</w:t>
      </w:r>
      <w:r w:rsidR="00DE747F" w:rsidRPr="003B7367">
        <w:rPr>
          <w:rFonts w:ascii="Arial Narrow" w:hAnsi="Arial Narrow" w:cs="Calibri"/>
          <w:color w:val="0D0D0D" w:themeColor="text1" w:themeTint="F2"/>
        </w:rPr>
        <w:t xml:space="preserve"> </w:t>
      </w:r>
      <w:r w:rsidR="004A0370" w:rsidRPr="003B7367">
        <w:rPr>
          <w:rFonts w:ascii="Arial Narrow" w:hAnsi="Arial Narrow" w:cs="Calibri"/>
          <w:color w:val="0D0D0D" w:themeColor="text1" w:themeTint="F2"/>
        </w:rPr>
        <w:t xml:space="preserve">wykonane </w:t>
      </w:r>
      <w:r w:rsidR="00B26133" w:rsidRPr="003B7367">
        <w:rPr>
          <w:rFonts w:ascii="Arial Narrow" w:hAnsi="Arial Narrow" w:cs="Calibri"/>
          <w:color w:val="0D0D0D" w:themeColor="text1" w:themeTint="F2"/>
        </w:rPr>
        <w:t xml:space="preserve">zgodnie z  </w:t>
      </w:r>
      <w:r w:rsidR="00723FB0" w:rsidRPr="003B7367">
        <w:rPr>
          <w:rFonts w:ascii="Arial Narrow" w:hAnsi="Arial Narrow" w:cs="Calibri"/>
          <w:color w:val="0D0D0D" w:themeColor="text1" w:themeTint="F2"/>
        </w:rPr>
        <w:t>PN-EN 50180-1</w:t>
      </w:r>
      <w:r w:rsidR="0073078E" w:rsidRPr="003B7367">
        <w:rPr>
          <w:rFonts w:ascii="Arial Narrow" w:hAnsi="Arial Narrow" w:cs="Calibri"/>
          <w:color w:val="0D0D0D" w:themeColor="text1" w:themeTint="F2"/>
        </w:rPr>
        <w:t>:2016-02</w:t>
      </w:r>
      <w:r w:rsidR="00723FB0" w:rsidRPr="003B7367">
        <w:rPr>
          <w:rFonts w:ascii="Arial Narrow" w:hAnsi="Arial Narrow" w:cs="Calibri"/>
          <w:color w:val="0D0D0D" w:themeColor="text1" w:themeTint="F2"/>
        </w:rPr>
        <w:t>E</w:t>
      </w:r>
      <w:r w:rsidR="0073078E" w:rsidRPr="003B7367">
        <w:rPr>
          <w:rFonts w:ascii="Arial Narrow" w:hAnsi="Arial Narrow" w:cs="Calibri"/>
          <w:color w:val="0D0D0D" w:themeColor="text1" w:themeTint="F2"/>
        </w:rPr>
        <w:t xml:space="preserve"> Izolatory przepustowe na napięcia powyżej 1 kV aż do 52 kV oraz prądy od 250 A do 3,15 kA do transformatorów napełnionych cieczą izolacyjną -- Część 1: Ogólne wymagania dla izolatorów przepustowych, PN-EN 50180-2:2016-02</w:t>
      </w:r>
      <w:r w:rsidR="00723FB0" w:rsidRPr="003B7367">
        <w:rPr>
          <w:rFonts w:ascii="Arial Narrow" w:hAnsi="Arial Narrow" w:cs="Calibri"/>
          <w:color w:val="0D0D0D" w:themeColor="text1" w:themeTint="F2"/>
        </w:rPr>
        <w:t>E</w:t>
      </w:r>
      <w:r w:rsidR="0073078E" w:rsidRPr="003B7367">
        <w:rPr>
          <w:rFonts w:ascii="Arial Narrow" w:hAnsi="Arial Narrow" w:cs="Calibri"/>
          <w:color w:val="0D0D0D" w:themeColor="text1" w:themeTint="F2"/>
        </w:rPr>
        <w:t xml:space="preserve"> Izolatory przepustowe na napięcia powyżej 1 kV aż do 52 kV oraz prądy od 250 A do 3,15 kA do transformatorów napełnionych cieczą izolacyjną -- Część 2: Wymagania dla części składowych izolatorów przepustowych oraz zam</w:t>
      </w:r>
      <w:r w:rsidR="005D3770" w:rsidRPr="003B7367">
        <w:rPr>
          <w:rFonts w:ascii="Arial Narrow" w:hAnsi="Arial Narrow" w:cs="Calibri"/>
          <w:color w:val="0D0D0D" w:themeColor="text1" w:themeTint="F2"/>
        </w:rPr>
        <w:t>o</w:t>
      </w:r>
      <w:r w:rsidR="004A0370" w:rsidRPr="003B7367">
        <w:rPr>
          <w:rFonts w:ascii="Arial Narrow" w:hAnsi="Arial Narrow" w:cs="Calibri"/>
          <w:color w:val="0D0D0D" w:themeColor="text1" w:themeTint="F2"/>
        </w:rPr>
        <w:t>cowane</w:t>
      </w:r>
      <w:r w:rsidR="0073078E" w:rsidRPr="003B7367">
        <w:rPr>
          <w:rFonts w:ascii="Arial Narrow" w:hAnsi="Arial Narrow" w:cs="Calibri"/>
          <w:color w:val="0D0D0D" w:themeColor="text1" w:themeTint="F2"/>
        </w:rPr>
        <w:t xml:space="preserve"> zgodnie z PN-EN 50180-3:2016-02</w:t>
      </w:r>
      <w:r w:rsidR="00723FB0" w:rsidRPr="003B7367">
        <w:rPr>
          <w:rFonts w:ascii="Arial Narrow" w:hAnsi="Arial Narrow" w:cs="Calibri"/>
          <w:color w:val="0D0D0D" w:themeColor="text1" w:themeTint="F2"/>
        </w:rPr>
        <w:t>E</w:t>
      </w:r>
      <w:r w:rsidR="0073078E" w:rsidRPr="003B7367">
        <w:rPr>
          <w:rFonts w:ascii="Arial Narrow" w:hAnsi="Arial Narrow" w:cs="Calibri"/>
          <w:color w:val="0D0D0D" w:themeColor="text1" w:themeTint="F2"/>
        </w:rPr>
        <w:t xml:space="preserve"> Izolatory przepustowe na napięcia powyżej 1 kV aż do 52 kV oraz prądy od 250 A do 3,15 kA do transformatorów napełnionych cieczą izolacyjną -- Część 3: Wymagania dotyczące mocowania izolatorów przepustowych.</w:t>
      </w:r>
    </w:p>
    <w:p w:rsidR="00B26133" w:rsidRPr="003B7367" w:rsidRDefault="00B26133" w:rsidP="00611FE8">
      <w:pPr>
        <w:spacing w:after="0" w:line="240" w:lineRule="auto"/>
        <w:ind w:left="709"/>
        <w:jc w:val="both"/>
        <w:rPr>
          <w:rFonts w:ascii="Arial Narrow" w:hAnsi="Arial Narrow" w:cs="Calibri"/>
          <w:color w:val="0D0D0D" w:themeColor="text1" w:themeTint="F2"/>
        </w:rPr>
      </w:pPr>
      <w:r w:rsidRPr="003B7367">
        <w:rPr>
          <w:rFonts w:ascii="Arial Narrow" w:hAnsi="Arial Narrow" w:cs="Calibri"/>
          <w:color w:val="0D0D0D" w:themeColor="text1" w:themeTint="F2"/>
        </w:rPr>
        <w:t xml:space="preserve">Izolatory przepustowe mają </w:t>
      </w:r>
      <w:r w:rsidRPr="003B7367">
        <w:rPr>
          <w:rFonts w:ascii="Arial Narrow" w:hAnsi="Arial Narrow" w:cs="Calibri"/>
          <w:iCs/>
          <w:color w:val="0D0D0D" w:themeColor="text1" w:themeTint="F2"/>
        </w:rPr>
        <w:t>spełniać wymagane normy </w:t>
      </w:r>
      <w:r w:rsidRPr="003B7367">
        <w:rPr>
          <w:rFonts w:ascii="Arial Narrow" w:hAnsi="Arial Narrow" w:cs="Calibri"/>
          <w:color w:val="0D0D0D" w:themeColor="text1" w:themeTint="F2"/>
          <w:lang w:eastAsia="pl-PL"/>
        </w:rPr>
        <w:t>PN</w:t>
      </w:r>
      <w:r w:rsidRPr="003B7367">
        <w:rPr>
          <w:rFonts w:ascii="Arial Narrow" w:hAnsi="Arial Narrow" w:cs="Calibri"/>
          <w:color w:val="0D0D0D" w:themeColor="text1" w:themeTint="F2"/>
          <w:lang w:eastAsia="pl-PL"/>
        </w:rPr>
        <w:noBreakHyphen/>
        <w:t>EN 60137:2010</w:t>
      </w:r>
      <w:r w:rsidR="00723FB0" w:rsidRPr="003B7367">
        <w:rPr>
          <w:rFonts w:ascii="Arial Narrow" w:hAnsi="Arial Narrow" w:cs="Calibri"/>
          <w:color w:val="0D0D0D" w:themeColor="text1" w:themeTint="F2"/>
          <w:lang w:eastAsia="pl-PL"/>
        </w:rPr>
        <w:t>P</w:t>
      </w:r>
      <w:r w:rsidRPr="003B7367">
        <w:rPr>
          <w:rFonts w:ascii="Arial Narrow" w:hAnsi="Arial Narrow" w:cs="Calibri"/>
          <w:color w:val="0D0D0D" w:themeColor="text1" w:themeTint="F2"/>
          <w:lang w:eastAsia="pl-PL"/>
        </w:rPr>
        <w:t xml:space="preserve"> Izolatory przepustowe na napięcia przemienne powyżej 1 000 V</w:t>
      </w:r>
      <w:r w:rsidRPr="003B7367">
        <w:rPr>
          <w:rFonts w:ascii="Arial Narrow" w:hAnsi="Arial Narrow" w:cs="Calibri"/>
          <w:iCs/>
          <w:color w:val="0D0D0D" w:themeColor="text1" w:themeTint="F2"/>
        </w:rPr>
        <w:t xml:space="preserve"> oraz umożliwiać podłączenie mostu kablowego wykonanego 2 lub 3 kablami jednożyłowymi o izolacji XLPE i o przekroju miedzianej żyły roboczej do 300 mm</w:t>
      </w:r>
      <w:r w:rsidRPr="003B7367">
        <w:rPr>
          <w:rFonts w:ascii="Arial Narrow" w:hAnsi="Arial Narrow" w:cs="Calibri"/>
          <w:iCs/>
          <w:color w:val="0D0D0D" w:themeColor="text1" w:themeTint="F2"/>
          <w:vertAlign w:val="superscript"/>
        </w:rPr>
        <w:t>2</w:t>
      </w:r>
      <w:r w:rsidRPr="003B7367">
        <w:rPr>
          <w:rFonts w:ascii="Arial Narrow" w:hAnsi="Arial Narrow" w:cs="Calibri"/>
          <w:iCs/>
          <w:color w:val="0D0D0D" w:themeColor="text1" w:themeTint="F2"/>
        </w:rPr>
        <w:t xml:space="preserve"> oraz ograniczników przepięć SN</w:t>
      </w:r>
      <w:r w:rsidR="00786110" w:rsidRPr="003B7367">
        <w:rPr>
          <w:rFonts w:ascii="Arial Narrow" w:hAnsi="Arial Narrow" w:cs="Calibri"/>
          <w:iCs/>
          <w:color w:val="0D0D0D" w:themeColor="text1" w:themeTint="F2"/>
        </w:rPr>
        <w:t xml:space="preserve"> i zaślepek </w:t>
      </w:r>
      <w:r w:rsidR="00C76F2B" w:rsidRPr="003B7367">
        <w:rPr>
          <w:rFonts w:ascii="Arial Narrow" w:hAnsi="Arial Narrow" w:cs="Calibri"/>
          <w:iCs/>
          <w:color w:val="0D0D0D" w:themeColor="text1" w:themeTint="F2"/>
        </w:rPr>
        <w:t xml:space="preserve">izolacyjnych </w:t>
      </w:r>
      <w:r w:rsidR="00DE747F" w:rsidRPr="003B7367">
        <w:rPr>
          <w:rFonts w:ascii="Arial Narrow" w:hAnsi="Arial Narrow" w:cs="Calibri"/>
          <w:iCs/>
          <w:color w:val="0D0D0D" w:themeColor="text1" w:themeTint="F2"/>
        </w:rPr>
        <w:t xml:space="preserve">(wchodzą w zakres dostawy) </w:t>
      </w:r>
      <w:r w:rsidR="00786110" w:rsidRPr="003B7367">
        <w:rPr>
          <w:rFonts w:ascii="Arial Narrow" w:hAnsi="Arial Narrow" w:cs="Calibri"/>
          <w:iCs/>
          <w:color w:val="0D0D0D" w:themeColor="text1" w:themeTint="F2"/>
        </w:rPr>
        <w:t>na gniazda rezerwowe</w:t>
      </w:r>
      <w:r w:rsidRPr="003B7367">
        <w:rPr>
          <w:rFonts w:ascii="Arial Narrow" w:hAnsi="Arial Narrow" w:cs="Calibri"/>
          <w:color w:val="0D0D0D" w:themeColor="text1" w:themeTint="F2"/>
        </w:rPr>
        <w:t>.</w:t>
      </w:r>
    </w:p>
    <w:p w:rsidR="00B26133" w:rsidRPr="003B7367" w:rsidRDefault="00B26133" w:rsidP="00356426">
      <w:pPr>
        <w:pStyle w:val="Nagwek2"/>
        <w:ind w:left="426" w:hanging="426"/>
        <w:jc w:val="both"/>
        <w:rPr>
          <w:rFonts w:ascii="Arial Narrow" w:hAnsi="Arial Narrow"/>
          <w:b w:val="0"/>
          <w:i w:val="0"/>
          <w:color w:val="auto"/>
          <w:sz w:val="22"/>
          <w:szCs w:val="22"/>
        </w:rPr>
      </w:pPr>
      <w:r w:rsidRPr="003B7367">
        <w:rPr>
          <w:rFonts w:ascii="Arial Narrow" w:hAnsi="Arial Narrow"/>
          <w:b w:val="0"/>
          <w:i w:val="0"/>
          <w:color w:val="auto"/>
          <w:sz w:val="22"/>
          <w:szCs w:val="22"/>
        </w:rPr>
        <w:t xml:space="preserve">Kadź transformatora </w:t>
      </w:r>
      <w:r w:rsidRPr="003B7367">
        <w:rPr>
          <w:rFonts w:ascii="Arial Narrow" w:hAnsi="Arial Narrow" w:cs="Calibri"/>
          <w:b w:val="0"/>
          <w:i w:val="0"/>
          <w:color w:val="auto"/>
          <w:sz w:val="22"/>
          <w:szCs w:val="22"/>
        </w:rPr>
        <w:t>powinna zapewniać szczelność i wytrzymałość mechaniczną</w:t>
      </w:r>
      <w:r w:rsidRPr="003B7367">
        <w:rPr>
          <w:rFonts w:ascii="Arial Narrow" w:hAnsi="Arial Narrow"/>
          <w:b w:val="0"/>
          <w:i w:val="0"/>
          <w:color w:val="auto"/>
          <w:sz w:val="22"/>
          <w:szCs w:val="22"/>
        </w:rPr>
        <w:t xml:space="preserve"> i być badana defektoskopowo przed procesem malowania: ultradźwiękowo, penetracyjnie i magnetyczno-proszkowo zgodnie z normami: PN-EN ISO 5817:</w:t>
      </w:r>
      <w:r w:rsidR="00723FB0" w:rsidRPr="003B7367">
        <w:rPr>
          <w:rFonts w:ascii="Arial Narrow" w:hAnsi="Arial Narrow"/>
          <w:b w:val="0"/>
          <w:i w:val="0"/>
          <w:color w:val="auto"/>
          <w:sz w:val="22"/>
          <w:szCs w:val="22"/>
          <w:lang w:val="pl-PL"/>
        </w:rPr>
        <w:t>2014-05E</w:t>
      </w:r>
      <w:r w:rsidR="00723FB0" w:rsidRPr="003B7367">
        <w:rPr>
          <w:rFonts w:ascii="Arial Narrow" w:hAnsi="Arial Narrow"/>
          <w:b w:val="0"/>
          <w:i w:val="0"/>
          <w:color w:val="auto"/>
          <w:sz w:val="22"/>
          <w:szCs w:val="22"/>
        </w:rPr>
        <w:t xml:space="preserve"> </w:t>
      </w:r>
      <w:r w:rsidRPr="003B7367">
        <w:rPr>
          <w:rFonts w:ascii="Arial Narrow" w:hAnsi="Arial Narrow"/>
          <w:b w:val="0"/>
          <w:i w:val="0"/>
          <w:color w:val="auto"/>
          <w:sz w:val="22"/>
          <w:szCs w:val="22"/>
        </w:rPr>
        <w:t xml:space="preserve">Spawanie - Złącza spawane ze stali, niklu, tytanu i ich stopów (z wyjątkiem spawanych wiązką) - Poziomy jakości według niezgodności spawalniczych oraz PN-EN </w:t>
      </w:r>
      <w:r w:rsidR="00F50089" w:rsidRPr="003B7367">
        <w:rPr>
          <w:rFonts w:ascii="Arial Narrow" w:hAnsi="Arial Narrow"/>
          <w:b w:val="0"/>
          <w:i w:val="0"/>
          <w:color w:val="auto"/>
          <w:sz w:val="22"/>
          <w:szCs w:val="22"/>
          <w:lang w:val="pl-PL"/>
        </w:rPr>
        <w:t>ISO 16810:2014-06E</w:t>
      </w:r>
      <w:r w:rsidRPr="003B7367">
        <w:rPr>
          <w:rFonts w:ascii="Arial Narrow" w:hAnsi="Arial Narrow"/>
          <w:b w:val="0"/>
          <w:i w:val="0"/>
          <w:color w:val="auto"/>
          <w:sz w:val="22"/>
          <w:szCs w:val="22"/>
        </w:rPr>
        <w:t xml:space="preserve"> Badania nieniszczące - Badania ultradźwiękowe - Część 1: Zasady ogólne </w:t>
      </w:r>
      <w:r w:rsidR="005D3770" w:rsidRPr="003B7367">
        <w:rPr>
          <w:rFonts w:ascii="Arial Narrow" w:hAnsi="Arial Narrow"/>
          <w:b w:val="0"/>
          <w:i w:val="0"/>
          <w:color w:val="auto"/>
          <w:sz w:val="22"/>
          <w:szCs w:val="22"/>
          <w:lang w:val="pl-PL"/>
        </w:rPr>
        <w:t>i</w:t>
      </w:r>
      <w:r w:rsidR="005D3770" w:rsidRPr="003B7367">
        <w:rPr>
          <w:rFonts w:ascii="Arial Narrow" w:hAnsi="Arial Narrow"/>
          <w:b w:val="0"/>
          <w:i w:val="0"/>
          <w:color w:val="auto"/>
          <w:sz w:val="22"/>
          <w:szCs w:val="22"/>
        </w:rPr>
        <w:t xml:space="preserve"> </w:t>
      </w:r>
      <w:r w:rsidRPr="003B7367">
        <w:rPr>
          <w:rFonts w:ascii="Arial Narrow" w:hAnsi="Arial Narrow"/>
          <w:b w:val="0"/>
          <w:i w:val="0"/>
          <w:color w:val="auto"/>
          <w:sz w:val="22"/>
          <w:szCs w:val="22"/>
        </w:rPr>
        <w:t xml:space="preserve">PN-EN </w:t>
      </w:r>
      <w:r w:rsidR="00F50089" w:rsidRPr="003B7367">
        <w:rPr>
          <w:rFonts w:ascii="Arial Narrow" w:hAnsi="Arial Narrow"/>
          <w:b w:val="0"/>
          <w:i w:val="0"/>
          <w:color w:val="auto"/>
          <w:sz w:val="22"/>
          <w:szCs w:val="22"/>
          <w:lang w:val="pl-PL"/>
        </w:rPr>
        <w:t>ISO 16811:2014-06E</w:t>
      </w:r>
      <w:r w:rsidRPr="003B7367">
        <w:rPr>
          <w:rFonts w:ascii="Arial Narrow" w:hAnsi="Arial Narrow"/>
          <w:b w:val="0"/>
          <w:i w:val="0"/>
          <w:color w:val="auto"/>
          <w:sz w:val="22"/>
          <w:szCs w:val="22"/>
        </w:rPr>
        <w:t xml:space="preserve"> Badania nieniszczące - Badania ultradźwiękowe - Część 2: Nastawianie czułości i zakresu obserwacji.</w:t>
      </w:r>
    </w:p>
    <w:p w:rsidR="00B26133" w:rsidRPr="00EE0198" w:rsidRDefault="00B26133" w:rsidP="00F96570">
      <w:pPr>
        <w:pStyle w:val="Nagwek2"/>
        <w:spacing w:before="120" w:after="0"/>
        <w:ind w:left="425" w:hanging="425"/>
        <w:jc w:val="both"/>
        <w:rPr>
          <w:rFonts w:ascii="Arial Narrow" w:hAnsi="Arial Narrow"/>
          <w:b w:val="0"/>
          <w:i w:val="0"/>
          <w:color w:val="auto"/>
          <w:sz w:val="22"/>
          <w:szCs w:val="22"/>
        </w:rPr>
      </w:pPr>
      <w:r w:rsidRPr="00EE0198">
        <w:rPr>
          <w:rFonts w:ascii="Arial Narrow" w:hAnsi="Arial Narrow"/>
          <w:b w:val="0"/>
          <w:i w:val="0"/>
          <w:color w:val="auto"/>
          <w:sz w:val="22"/>
          <w:szCs w:val="22"/>
        </w:rPr>
        <w:t>Kadź ma być wyposażona w:</w:t>
      </w:r>
    </w:p>
    <w:p w:rsidR="00B26133" w:rsidRPr="00356426" w:rsidRDefault="00B26133" w:rsidP="005C0353">
      <w:pPr>
        <w:pStyle w:val="Akapitzlist"/>
        <w:numPr>
          <w:ilvl w:val="0"/>
          <w:numId w:val="4"/>
        </w:numPr>
        <w:spacing w:after="0" w:line="240" w:lineRule="auto"/>
        <w:ind w:left="681" w:hanging="284"/>
        <w:jc w:val="both"/>
        <w:rPr>
          <w:rFonts w:ascii="Arial Narrow" w:hAnsi="Arial Narrow"/>
          <w:spacing w:val="-2"/>
        </w:rPr>
      </w:pPr>
      <w:r w:rsidRPr="00356426">
        <w:rPr>
          <w:rFonts w:ascii="Arial Narrow" w:hAnsi="Arial Narrow"/>
          <w:spacing w:val="-2"/>
        </w:rPr>
        <w:t>podwozie umożliwiające przesuwanie w kierunku podłużnym i poprzecznym o rozstawie kół: 3010mm x 1505mm</w:t>
      </w:r>
      <w:r w:rsidR="00356426">
        <w:rPr>
          <w:rFonts w:ascii="Arial Narrow" w:hAnsi="Arial Narrow"/>
          <w:spacing w:val="-2"/>
        </w:rPr>
        <w:t>,</w:t>
      </w:r>
      <w:r w:rsidRPr="00356426">
        <w:rPr>
          <w:rFonts w:ascii="Arial Narrow" w:hAnsi="Arial Narrow"/>
          <w:spacing w:val="-2"/>
        </w:rPr>
        <w:t xml:space="preserve"> </w:t>
      </w:r>
    </w:p>
    <w:p w:rsidR="00B26133" w:rsidRPr="00EE0198" w:rsidRDefault="00B26133" w:rsidP="0042325F">
      <w:pPr>
        <w:pStyle w:val="Akapitzlist"/>
        <w:numPr>
          <w:ilvl w:val="0"/>
          <w:numId w:val="4"/>
        </w:numPr>
        <w:spacing w:after="0" w:line="240" w:lineRule="auto"/>
        <w:ind w:left="709" w:hanging="283"/>
        <w:jc w:val="both"/>
        <w:rPr>
          <w:rFonts w:ascii="Arial Narrow" w:hAnsi="Arial Narrow"/>
        </w:rPr>
      </w:pPr>
      <w:r w:rsidRPr="00EE0198">
        <w:rPr>
          <w:rFonts w:ascii="Arial Narrow" w:hAnsi="Arial Narrow"/>
        </w:rPr>
        <w:t>konserwator dwukomorowy ze szczelnymi komorami: podobciążeniowego przełącznika zaczepów i kadzi transformatora, wyposażonymi we wskaźnik poziomu oleju oraz  niezależne  bezobsługowe odwilżacze sprowadzone do poziomu obsługi, wypełnione silikażelem oraz w kulowe zawory i wlewy do spuszczania i napełniania oleju,</w:t>
      </w:r>
    </w:p>
    <w:p w:rsidR="00B26133" w:rsidRPr="00EE0198"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radiatory wykonane z blach ocynkowanej (nie malowane) wyposażone w motylkowe zastawki na wlocie i wylocie (umożliwiające demontaż pojedynczego radiatora bez spuszczania oleju z kadzi) oraz korkami do spustu, napełniania oleju i odpowietrzania radiatora.</w:t>
      </w:r>
    </w:p>
    <w:p w:rsidR="00B26133" w:rsidRPr="00EE0198"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pokrywę kadzi połączona z kadzią transformatora poprzez spawanie lub skręcanie</w:t>
      </w:r>
      <w:r w:rsidR="00190097" w:rsidRPr="00EE0198">
        <w:rPr>
          <w:rFonts w:ascii="Arial Narrow" w:hAnsi="Arial Narrow"/>
        </w:rPr>
        <w:t xml:space="preserve"> (określone w SIWZ)</w:t>
      </w:r>
      <w:r w:rsidRPr="00EE0198">
        <w:rPr>
          <w:rFonts w:ascii="Arial Narrow" w:hAnsi="Arial Narrow"/>
        </w:rPr>
        <w:t>, wyposażoną we wlew oleju do podłączenia pompy próżniowej,</w:t>
      </w:r>
    </w:p>
    <w:p w:rsidR="00B26133" w:rsidRPr="00EE0198"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zawory probiercze lub kulowe umożliwiające pobieranie próbek oleju do badań (z góry i z dołu) oraz umożliwiające zamontowanie urządzenia do pomiaru zawartości gazów rozpuszczonych (gwint 1,5”) np. typu Hydrocal, Calisto lub Qualitrol (dotyczy tylko zaworu z dołu),</w:t>
      </w:r>
    </w:p>
    <w:p w:rsidR="00B26133" w:rsidRPr="00EE0198"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dwa zaciski uziemiające usytuowane w dolnej części ścian kadzi przy podwoziu do uziemienia transformatora, oznaczone właściwym symbolem,</w:t>
      </w:r>
    </w:p>
    <w:p w:rsidR="00B26133" w:rsidRPr="00EE0198"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przykręcane do pokrywy transformatora konstrukcje do montażu ograniczników przepięć strony GN,</w:t>
      </w:r>
    </w:p>
    <w:p w:rsidR="002A640C" w:rsidRDefault="00B26133" w:rsidP="005C0353">
      <w:pPr>
        <w:pStyle w:val="Akapitzlist"/>
        <w:numPr>
          <w:ilvl w:val="0"/>
          <w:numId w:val="4"/>
        </w:numPr>
        <w:spacing w:after="0" w:line="240" w:lineRule="auto"/>
        <w:ind w:left="681" w:hanging="284"/>
        <w:jc w:val="both"/>
        <w:rPr>
          <w:rFonts w:ascii="Arial Narrow" w:hAnsi="Arial Narrow"/>
        </w:rPr>
      </w:pPr>
      <w:r w:rsidRPr="00EE0198">
        <w:rPr>
          <w:rFonts w:ascii="Arial Narrow" w:hAnsi="Arial Narrow"/>
        </w:rPr>
        <w:t>przykręcane do pokrywy transformatora konstrukcje wsporcz</w:t>
      </w:r>
      <w:r w:rsidR="003200F9">
        <w:rPr>
          <w:rFonts w:ascii="Arial Narrow" w:hAnsi="Arial Narrow"/>
        </w:rPr>
        <w:t>e</w:t>
      </w:r>
      <w:r w:rsidRPr="00EE0198">
        <w:rPr>
          <w:rFonts w:ascii="Arial Narrow" w:hAnsi="Arial Narrow"/>
        </w:rPr>
        <w:t xml:space="preserve"> za</w:t>
      </w:r>
      <w:r w:rsidR="00DE747F" w:rsidRPr="00EE0198">
        <w:rPr>
          <w:rFonts w:ascii="Arial Narrow" w:hAnsi="Arial Narrow"/>
        </w:rPr>
        <w:t>pewniając</w:t>
      </w:r>
      <w:r w:rsidR="003200F9">
        <w:rPr>
          <w:rFonts w:ascii="Arial Narrow" w:hAnsi="Arial Narrow"/>
        </w:rPr>
        <w:t>e</w:t>
      </w:r>
      <w:r w:rsidR="00DE747F" w:rsidRPr="00EE0198">
        <w:rPr>
          <w:rFonts w:ascii="Arial Narrow" w:hAnsi="Arial Narrow"/>
        </w:rPr>
        <w:t xml:space="preserve"> mechaniczne </w:t>
      </w:r>
      <w:r w:rsidR="00356426" w:rsidRPr="00EE0198">
        <w:rPr>
          <w:rFonts w:ascii="Arial Narrow" w:hAnsi="Arial Narrow"/>
        </w:rPr>
        <w:t>podtrzymanie</w:t>
      </w:r>
      <w:r w:rsidR="00DE747F" w:rsidRPr="00EE0198">
        <w:rPr>
          <w:rFonts w:ascii="Arial Narrow" w:hAnsi="Arial Narrow"/>
        </w:rPr>
        <w:t xml:space="preserve"> kabli mostu kablowego SN.</w:t>
      </w:r>
    </w:p>
    <w:p w:rsidR="00C72845" w:rsidRPr="0042325F" w:rsidRDefault="00C72845" w:rsidP="00F96570">
      <w:pPr>
        <w:pStyle w:val="Nagwek2"/>
        <w:spacing w:before="120" w:after="0"/>
        <w:ind w:left="425" w:hanging="425"/>
        <w:jc w:val="both"/>
        <w:rPr>
          <w:rFonts w:ascii="Arial Narrow" w:hAnsi="Arial Narrow"/>
          <w:b w:val="0"/>
          <w:i w:val="0"/>
          <w:color w:val="auto"/>
          <w:sz w:val="22"/>
          <w:szCs w:val="22"/>
        </w:rPr>
      </w:pPr>
      <w:r w:rsidRPr="0042325F">
        <w:rPr>
          <w:rFonts w:ascii="Arial Narrow" w:hAnsi="Arial Narrow"/>
          <w:b w:val="0"/>
          <w:i w:val="0"/>
          <w:color w:val="auto"/>
          <w:sz w:val="22"/>
          <w:szCs w:val="22"/>
        </w:rPr>
        <w:lastRenderedPageBreak/>
        <w:t>Wszystkie powierzchnie wewnętrzne i zewnętrzne kadzi transformatora, pokrywy, konserwatora, połączeń ruro-wych mają posiadać zabezpieczenie antykorozyjne klasy C3, sklasyfikowane zgodnie z PN EN ISO 12944-2:2001P Farby i lakiery - Ochrona przed korozją konstrukcji stalowych za pomocą ochronnych systemów malarskich - Część 2: Klasyfikacja środowisk. Powierzchnie wewnętrzne mają być zabezpieczone przed korozją przez pomalowanie farbą gruntową (stykającą się z olejem) o grubości powłoki co najmniej 60 µm, a powierzchnie zewnętrzne mają być zabezpieczone przed korozją przez pomalowanie farbą gruntową i nawierzchniową, odporną na mineralny olej elektroizolacyjny, w kolorze RAL 7038, o grubości powłoki co najmniej 120 µm. Powierzchnie do malowania mają być przygotowane zgodnie z PN EN ISO 8501-1:2008P Przygotowanie podłoży stalowych przed nakładaniem farb i podobnych produktów - Wzrokowa ocena czystości powierzchni - Część 1: Stopnie skorodowania i stopnie przygotowania niepokrytych podłoży stalowych oraz podłoży stalowych po całkowitym usunięciu wcześniej nałożonych powłok. Powłoki malarskie wykonać zgodnie z normami PN- EN ISO 12944: 2001P Farby i lakiery - Ochrona przed korozją konstrukcji stalowych za pomocą ochronnych systemów malarskich - Części od 1 do 7.</w:t>
      </w:r>
    </w:p>
    <w:p w:rsidR="00B26133" w:rsidRPr="003B7367" w:rsidRDefault="00B26133" w:rsidP="00D03A4C">
      <w:pPr>
        <w:pStyle w:val="Nagwek2"/>
        <w:ind w:left="426" w:hanging="426"/>
        <w:jc w:val="both"/>
        <w:rPr>
          <w:rFonts w:ascii="Arial Narrow" w:hAnsi="Arial Narrow"/>
          <w:b w:val="0"/>
          <w:i w:val="0"/>
          <w:color w:val="auto"/>
          <w:sz w:val="22"/>
          <w:szCs w:val="22"/>
          <w:lang w:val="pl-PL" w:eastAsia="pl-PL"/>
        </w:rPr>
      </w:pPr>
      <w:r w:rsidRPr="00EE0198">
        <w:rPr>
          <w:rFonts w:ascii="Arial Narrow" w:hAnsi="Arial Narrow"/>
          <w:b w:val="0"/>
          <w:i w:val="0"/>
          <w:color w:val="auto"/>
          <w:sz w:val="22"/>
          <w:szCs w:val="22"/>
        </w:rPr>
        <w:t>Transformator ma być napełniony mineralnym olejem elektroizolacyjnym, nieinhibitowanym, spełniającym wymagania norm: PN-EN 60156:2008</w:t>
      </w:r>
      <w:r w:rsidR="00A97CDE">
        <w:rPr>
          <w:rFonts w:ascii="Arial Narrow" w:hAnsi="Arial Narrow"/>
          <w:b w:val="0"/>
          <w:i w:val="0"/>
          <w:color w:val="auto"/>
          <w:sz w:val="22"/>
          <w:szCs w:val="22"/>
          <w:lang w:val="pl-PL"/>
        </w:rPr>
        <w:t>P</w:t>
      </w:r>
      <w:r w:rsidRPr="00EE0198">
        <w:rPr>
          <w:rFonts w:ascii="Arial Narrow" w:hAnsi="Arial Narrow"/>
          <w:b w:val="0"/>
          <w:i w:val="0"/>
          <w:color w:val="auto"/>
          <w:sz w:val="22"/>
          <w:szCs w:val="22"/>
        </w:rPr>
        <w:t xml:space="preserve"> Ciecze elektroizolacyjne - Określanie napięcia przebicia przy częstotliwości sieciowej - Metoda badania, </w:t>
      </w:r>
      <w:r w:rsidRPr="00EE0198">
        <w:rPr>
          <w:rFonts w:ascii="Arial Narrow" w:hAnsi="Arial Narrow"/>
          <w:b w:val="0"/>
          <w:i w:val="0"/>
          <w:color w:val="auto"/>
          <w:sz w:val="22"/>
          <w:szCs w:val="22"/>
          <w:lang w:eastAsia="pl-PL"/>
        </w:rPr>
        <w:t>PN</w:t>
      </w:r>
      <w:r w:rsidRPr="00EE0198">
        <w:rPr>
          <w:rFonts w:ascii="Arial Narrow" w:hAnsi="Arial Narrow"/>
          <w:b w:val="0"/>
          <w:i w:val="0"/>
          <w:color w:val="auto"/>
          <w:sz w:val="22"/>
          <w:szCs w:val="22"/>
          <w:lang w:eastAsia="pl-PL"/>
        </w:rPr>
        <w:noBreakHyphen/>
        <w:t>EN 60247:2008</w:t>
      </w:r>
      <w:r w:rsidR="00A97CDE">
        <w:rPr>
          <w:rFonts w:ascii="Arial Narrow" w:hAnsi="Arial Narrow"/>
          <w:b w:val="0"/>
          <w:i w:val="0"/>
          <w:color w:val="auto"/>
          <w:sz w:val="22"/>
          <w:szCs w:val="22"/>
          <w:lang w:val="pl-PL" w:eastAsia="pl-PL"/>
        </w:rPr>
        <w:t>P</w:t>
      </w:r>
      <w:r w:rsidRPr="00EE0198">
        <w:rPr>
          <w:rFonts w:ascii="Arial Narrow" w:hAnsi="Arial Narrow"/>
          <w:b w:val="0"/>
          <w:i w:val="0"/>
          <w:color w:val="auto"/>
          <w:sz w:val="22"/>
          <w:szCs w:val="22"/>
          <w:lang w:eastAsia="pl-PL"/>
        </w:rPr>
        <w:t xml:space="preserve"> Ciecze elektroizolacyjne - Pomiar przenikalności elektrycznej względnej, współczynnika strat dielektrycznych (tg delta) i rezystywności przy prądzie stałym,</w:t>
      </w:r>
      <w:r w:rsidRPr="00EE0198">
        <w:rPr>
          <w:rFonts w:ascii="Arial Narrow" w:hAnsi="Arial Narrow"/>
          <w:b w:val="0"/>
          <w:i w:val="0"/>
          <w:color w:val="auto"/>
          <w:sz w:val="22"/>
          <w:szCs w:val="22"/>
        </w:rPr>
        <w:t xml:space="preserve"> PN-EN 60296:</w:t>
      </w:r>
      <w:r w:rsidR="00A97CDE" w:rsidRPr="00F6065B">
        <w:rPr>
          <w:rFonts w:ascii="Arial Narrow" w:hAnsi="Arial Narrow"/>
          <w:b w:val="0"/>
          <w:i w:val="0"/>
          <w:color w:val="auto"/>
          <w:spacing w:val="-2"/>
          <w:sz w:val="22"/>
          <w:szCs w:val="22"/>
          <w:lang w:val="pl-PL"/>
        </w:rPr>
        <w:t>2012E</w:t>
      </w:r>
      <w:r w:rsidR="00A97CDE" w:rsidRPr="00F6065B">
        <w:rPr>
          <w:rFonts w:ascii="Arial Narrow" w:hAnsi="Arial Narrow"/>
          <w:b w:val="0"/>
          <w:i w:val="0"/>
          <w:color w:val="auto"/>
          <w:spacing w:val="-2"/>
          <w:sz w:val="22"/>
          <w:szCs w:val="22"/>
        </w:rPr>
        <w:t xml:space="preserve"> </w:t>
      </w:r>
      <w:r w:rsidRPr="00F6065B">
        <w:rPr>
          <w:rFonts w:ascii="Arial Narrow" w:hAnsi="Arial Narrow"/>
          <w:b w:val="0"/>
          <w:i w:val="0"/>
          <w:color w:val="auto"/>
          <w:spacing w:val="-2"/>
          <w:sz w:val="22"/>
          <w:szCs w:val="22"/>
        </w:rPr>
        <w:t>Ciecze stosowane w elektrotechnice - Świeże mineralne oleje elektroizolacyjne do transformatorów i aparatury łączeniowej,</w:t>
      </w:r>
      <w:r w:rsidRPr="00F6065B">
        <w:rPr>
          <w:rFonts w:ascii="Arial Narrow" w:hAnsi="Arial Narrow"/>
          <w:b w:val="0"/>
          <w:i w:val="0"/>
          <w:color w:val="auto"/>
          <w:spacing w:val="-2"/>
          <w:sz w:val="22"/>
          <w:szCs w:val="22"/>
          <w:lang w:eastAsia="pl-PL"/>
        </w:rPr>
        <w:t xml:space="preserve"> PN-EN 60814:2002</w:t>
      </w:r>
      <w:r w:rsidR="00A97CDE" w:rsidRPr="00F6065B">
        <w:rPr>
          <w:rFonts w:ascii="Arial Narrow" w:hAnsi="Arial Narrow"/>
          <w:b w:val="0"/>
          <w:i w:val="0"/>
          <w:color w:val="auto"/>
          <w:spacing w:val="-2"/>
          <w:sz w:val="22"/>
          <w:szCs w:val="22"/>
          <w:lang w:val="pl-PL" w:eastAsia="pl-PL"/>
        </w:rPr>
        <w:t>E</w:t>
      </w:r>
      <w:r w:rsidRPr="00F6065B">
        <w:rPr>
          <w:rFonts w:ascii="Arial Narrow" w:hAnsi="Arial Narrow"/>
          <w:b w:val="0"/>
          <w:i w:val="0"/>
          <w:color w:val="auto"/>
          <w:spacing w:val="-2"/>
          <w:sz w:val="22"/>
          <w:szCs w:val="22"/>
          <w:lang w:eastAsia="pl-PL"/>
        </w:rPr>
        <w:t xml:space="preserve"> Ciecze izolacyjne - Papier i preszpan nasycane olejem - Oznaczanie wody za </w:t>
      </w:r>
      <w:r w:rsidRPr="003B7367">
        <w:rPr>
          <w:rFonts w:ascii="Arial Narrow" w:hAnsi="Arial Narrow"/>
          <w:b w:val="0"/>
          <w:i w:val="0"/>
          <w:color w:val="auto"/>
          <w:spacing w:val="-2"/>
          <w:sz w:val="22"/>
          <w:szCs w:val="22"/>
          <w:lang w:eastAsia="pl-PL"/>
        </w:rPr>
        <w:t>pomocą automatycznego miareczkowania kulometrycznego Karla Fischera, PN</w:t>
      </w:r>
      <w:r w:rsidRPr="003B7367">
        <w:rPr>
          <w:rFonts w:ascii="Arial Narrow" w:hAnsi="Arial Narrow"/>
          <w:b w:val="0"/>
          <w:i w:val="0"/>
          <w:color w:val="auto"/>
          <w:spacing w:val="-2"/>
          <w:sz w:val="22"/>
          <w:szCs w:val="22"/>
          <w:lang w:eastAsia="pl-PL"/>
        </w:rPr>
        <w:noBreakHyphen/>
        <w:t>EN 61181:2007</w:t>
      </w:r>
      <w:r w:rsidR="00A97CDE" w:rsidRPr="003B7367">
        <w:rPr>
          <w:rFonts w:ascii="Arial Narrow" w:hAnsi="Arial Narrow"/>
          <w:b w:val="0"/>
          <w:i w:val="0"/>
          <w:color w:val="auto"/>
          <w:spacing w:val="-2"/>
          <w:sz w:val="22"/>
          <w:szCs w:val="22"/>
          <w:lang w:val="pl-PL" w:eastAsia="pl-PL"/>
        </w:rPr>
        <w:t>+A1:2012E</w:t>
      </w:r>
      <w:r w:rsidRPr="003B7367">
        <w:rPr>
          <w:rFonts w:ascii="Arial Narrow" w:hAnsi="Arial Narrow"/>
          <w:b w:val="0"/>
          <w:i w:val="0"/>
          <w:color w:val="auto"/>
          <w:spacing w:val="-2"/>
          <w:sz w:val="22"/>
          <w:szCs w:val="22"/>
          <w:lang w:eastAsia="pl-PL"/>
        </w:rPr>
        <w:t xml:space="preserve"> Urządzenia elektryczne z olejem mineralnym - Zastosowanie analizy gazów rozpuszczonych w oleju (DGA) przy próbach fabrycznych urządzeń elektrycznych.</w:t>
      </w:r>
    </w:p>
    <w:p w:rsidR="004E13A4" w:rsidRPr="003B7367" w:rsidRDefault="004E13A4" w:rsidP="004E13A4">
      <w:pPr>
        <w:pStyle w:val="Nagwek2"/>
        <w:ind w:left="426" w:hanging="426"/>
        <w:jc w:val="both"/>
        <w:rPr>
          <w:rFonts w:ascii="Arial Narrow" w:hAnsi="Arial Narrow" w:cs="Calibri"/>
          <w:b w:val="0"/>
          <w:i w:val="0"/>
          <w:color w:val="auto"/>
          <w:sz w:val="22"/>
          <w:szCs w:val="22"/>
        </w:rPr>
      </w:pPr>
      <w:r w:rsidRPr="003B7367">
        <w:rPr>
          <w:rFonts w:ascii="Arial Narrow" w:hAnsi="Arial Narrow"/>
          <w:b w:val="0"/>
          <w:i w:val="0"/>
          <w:color w:val="auto"/>
          <w:sz w:val="22"/>
          <w:szCs w:val="22"/>
        </w:rPr>
        <w:t>Podobciążeniowy przełącznik zaczepów do regulacji pod obciążeniem</w:t>
      </w:r>
      <w:r w:rsidRPr="003B7367">
        <w:rPr>
          <w:rFonts w:ascii="Arial Narrow" w:hAnsi="Arial Narrow"/>
          <w:b w:val="0"/>
          <w:i w:val="0"/>
          <w:color w:val="auto"/>
          <w:sz w:val="22"/>
          <w:szCs w:val="22"/>
          <w:lang w:val="pl-PL"/>
        </w:rPr>
        <w:t>,</w:t>
      </w:r>
      <w:r w:rsidRPr="003B7367">
        <w:rPr>
          <w:rFonts w:ascii="Arial Narrow" w:hAnsi="Arial Narrow"/>
          <w:b w:val="0"/>
          <w:i w:val="0"/>
          <w:color w:val="auto"/>
          <w:sz w:val="22"/>
          <w:szCs w:val="22"/>
        </w:rPr>
        <w:t xml:space="preserve"> z komorami próżniowymi, montowany </w:t>
      </w:r>
      <w:r w:rsidRPr="003B7367">
        <w:rPr>
          <w:rFonts w:ascii="Arial Narrow" w:hAnsi="Arial Narrow"/>
          <w:b w:val="0"/>
          <w:i w:val="0"/>
          <w:color w:val="auto"/>
          <w:sz w:val="22"/>
          <w:szCs w:val="22"/>
          <w:lang w:val="pl-PL"/>
        </w:rPr>
        <w:t xml:space="preserve">                    </w:t>
      </w:r>
      <w:r w:rsidRPr="003B7367">
        <w:rPr>
          <w:rFonts w:ascii="Arial Narrow" w:hAnsi="Arial Narrow"/>
          <w:b w:val="0"/>
          <w:i w:val="0"/>
          <w:color w:val="auto"/>
          <w:sz w:val="22"/>
          <w:szCs w:val="22"/>
        </w:rPr>
        <w:t xml:space="preserve">w kadzi transformatora, produkcji </w:t>
      </w:r>
      <w:r w:rsidRPr="003B7367">
        <w:rPr>
          <w:rFonts w:ascii="Arial Narrow" w:hAnsi="Arial Narrow" w:cs="Calibri"/>
          <w:b w:val="0"/>
          <w:i w:val="0"/>
          <w:color w:val="auto"/>
          <w:sz w:val="22"/>
          <w:szCs w:val="22"/>
        </w:rPr>
        <w:t>Maschinenfabrik Reinhausen GmbH, typu VACUTAP®, o trwałości elektrycznej elementów przełączających min. 600 tys. cykli i trwałości mechanicznej min. 1.200 tys. cykli, lub innego typu, produkcji innej</w:t>
      </w:r>
      <w:r w:rsidRPr="003B7367">
        <w:rPr>
          <w:rFonts w:ascii="Arial Narrow" w:hAnsi="Arial Narrow"/>
          <w:b w:val="0"/>
          <w:i w:val="0"/>
          <w:color w:val="auto"/>
          <w:sz w:val="22"/>
          <w:szCs w:val="22"/>
        </w:rPr>
        <w:t xml:space="preserve"> firmy, o nie gorszych parametrach i funkcjonalności.</w:t>
      </w:r>
      <w:r w:rsidRPr="003B7367">
        <w:rPr>
          <w:rFonts w:ascii="Arial Narrow" w:hAnsi="Arial Narrow"/>
          <w:b w:val="0"/>
          <w:i w:val="0"/>
          <w:color w:val="auto"/>
          <w:sz w:val="22"/>
          <w:szCs w:val="22"/>
          <w:lang w:val="pl-PL"/>
        </w:rPr>
        <w:t xml:space="preserve"> Przełącznik ma </w:t>
      </w:r>
      <w:r w:rsidRPr="003B7367">
        <w:rPr>
          <w:rFonts w:ascii="Arial Narrow" w:hAnsi="Arial Narrow" w:cs="Calibri"/>
          <w:b w:val="0"/>
          <w:i w:val="0"/>
          <w:color w:val="auto"/>
          <w:sz w:val="22"/>
          <w:szCs w:val="22"/>
          <w:lang w:val="pl-PL"/>
        </w:rPr>
        <w:t>być zgodny z</w:t>
      </w:r>
      <w:r w:rsidRPr="003B7367">
        <w:rPr>
          <w:rFonts w:ascii="Arial Narrow" w:hAnsi="Arial Narrow" w:cs="Calibri"/>
          <w:b w:val="0"/>
          <w:i w:val="0"/>
          <w:color w:val="auto"/>
          <w:sz w:val="22"/>
          <w:szCs w:val="22"/>
        </w:rPr>
        <w:t xml:space="preserve"> PN-EN 60214</w:t>
      </w:r>
      <w:r w:rsidRPr="003B7367">
        <w:rPr>
          <w:rFonts w:ascii="Arial Narrow" w:hAnsi="Arial Narrow" w:cs="Calibri"/>
          <w:b w:val="0"/>
          <w:i w:val="0"/>
          <w:color w:val="auto"/>
          <w:sz w:val="22"/>
          <w:szCs w:val="22"/>
          <w:lang w:val="pl-PL"/>
        </w:rPr>
        <w:t>-1</w:t>
      </w:r>
      <w:r w:rsidRPr="003B7367">
        <w:rPr>
          <w:rFonts w:ascii="Arial Narrow" w:hAnsi="Arial Narrow" w:cs="Calibri"/>
          <w:b w:val="0"/>
          <w:i w:val="0"/>
          <w:color w:val="auto"/>
          <w:sz w:val="22"/>
          <w:szCs w:val="22"/>
        </w:rPr>
        <w:t>:20</w:t>
      </w:r>
      <w:r w:rsidRPr="003B7367">
        <w:rPr>
          <w:rFonts w:ascii="Arial Narrow" w:hAnsi="Arial Narrow" w:cs="Calibri"/>
          <w:b w:val="0"/>
          <w:i w:val="0"/>
          <w:color w:val="auto"/>
          <w:sz w:val="22"/>
          <w:szCs w:val="22"/>
          <w:lang w:val="pl-PL"/>
        </w:rPr>
        <w:t>14-12E</w:t>
      </w:r>
      <w:r w:rsidRPr="003B7367">
        <w:rPr>
          <w:rFonts w:ascii="Arial Narrow" w:hAnsi="Arial Narrow" w:cs="Calibri"/>
          <w:b w:val="0"/>
          <w:i w:val="0"/>
          <w:color w:val="auto"/>
          <w:sz w:val="22"/>
          <w:szCs w:val="22"/>
        </w:rPr>
        <w:t> </w:t>
      </w:r>
      <w:r w:rsidRPr="003B7367">
        <w:rPr>
          <w:rFonts w:ascii="Arial Narrow" w:hAnsi="Arial Narrow" w:cs="Calibri"/>
          <w:b w:val="0"/>
          <w:i w:val="0"/>
          <w:color w:val="auto"/>
          <w:sz w:val="22"/>
          <w:szCs w:val="22"/>
          <w:lang w:val="pl-PL"/>
        </w:rPr>
        <w:t>Przełączniki zaczepów- Część 1: Wymagania i metody badań.</w:t>
      </w:r>
      <w:r w:rsidRPr="003B7367">
        <w:rPr>
          <w:rFonts w:ascii="Arial Narrow" w:hAnsi="Arial Narrow"/>
          <w:b w:val="0"/>
          <w:i w:val="0"/>
          <w:color w:val="auto"/>
          <w:sz w:val="22"/>
          <w:szCs w:val="22"/>
          <w:lang w:val="pl-PL"/>
        </w:rPr>
        <w:t xml:space="preserve"> </w:t>
      </w:r>
    </w:p>
    <w:p w:rsidR="00B26133" w:rsidRPr="00EE0198" w:rsidRDefault="00B26133" w:rsidP="00F6065B">
      <w:pPr>
        <w:pStyle w:val="Nagwek2"/>
        <w:spacing w:before="120" w:after="0"/>
        <w:ind w:left="425" w:hanging="425"/>
        <w:jc w:val="both"/>
        <w:rPr>
          <w:rFonts w:ascii="Arial Narrow" w:hAnsi="Arial Narrow"/>
          <w:b w:val="0"/>
          <w:i w:val="0"/>
          <w:color w:val="auto"/>
          <w:sz w:val="22"/>
          <w:szCs w:val="22"/>
        </w:rPr>
      </w:pPr>
      <w:r w:rsidRPr="003B7367">
        <w:rPr>
          <w:rFonts w:ascii="Arial Narrow" w:hAnsi="Arial Narrow"/>
          <w:b w:val="0"/>
          <w:i w:val="0"/>
          <w:color w:val="auto"/>
          <w:sz w:val="22"/>
          <w:szCs w:val="22"/>
        </w:rPr>
        <w:t>Napęd podobciążeniowego przełącznika</w:t>
      </w:r>
      <w:r w:rsidR="00FB5F0E" w:rsidRPr="003B7367">
        <w:rPr>
          <w:rFonts w:ascii="Arial Narrow" w:hAnsi="Arial Narrow"/>
          <w:b w:val="0"/>
          <w:i w:val="0"/>
          <w:color w:val="auto"/>
          <w:sz w:val="22"/>
          <w:szCs w:val="22"/>
        </w:rPr>
        <w:t xml:space="preserve"> zaczepów sterowany przemiennym</w:t>
      </w:r>
      <w:r w:rsidRPr="003B7367">
        <w:rPr>
          <w:rFonts w:ascii="Arial Narrow" w:hAnsi="Arial Narrow"/>
          <w:b w:val="0"/>
          <w:i w:val="0"/>
          <w:color w:val="auto"/>
          <w:sz w:val="22"/>
          <w:szCs w:val="22"/>
        </w:rPr>
        <w:t xml:space="preserve"> napięciem znamionowym: zdalnie (automatyczna regulacja napięcia lub ręczna z nastawni) lub lokalnie (z szafy</w:t>
      </w:r>
      <w:r w:rsidRPr="00EE0198">
        <w:rPr>
          <w:rFonts w:ascii="Arial Narrow" w:hAnsi="Arial Narrow"/>
          <w:b w:val="0"/>
          <w:i w:val="0"/>
          <w:color w:val="auto"/>
          <w:sz w:val="22"/>
          <w:szCs w:val="22"/>
        </w:rPr>
        <w:t xml:space="preserve"> napędu lub w razie potrzeby ręcznie za pomocą korby).</w:t>
      </w:r>
    </w:p>
    <w:p w:rsidR="00B26133" w:rsidRPr="00EE0198" w:rsidRDefault="00B26133" w:rsidP="00F6065B">
      <w:pPr>
        <w:pStyle w:val="Nagwek2"/>
        <w:spacing w:before="120" w:after="0"/>
        <w:ind w:left="425" w:hanging="425"/>
        <w:jc w:val="both"/>
        <w:rPr>
          <w:rFonts w:ascii="Arial Narrow" w:hAnsi="Arial Narrow"/>
          <w:b w:val="0"/>
          <w:i w:val="0"/>
          <w:color w:val="auto"/>
          <w:sz w:val="22"/>
          <w:szCs w:val="22"/>
        </w:rPr>
      </w:pPr>
      <w:r w:rsidRPr="00EE0198">
        <w:rPr>
          <w:rFonts w:ascii="Arial Narrow" w:hAnsi="Arial Narrow"/>
          <w:b w:val="0"/>
          <w:i w:val="0"/>
          <w:color w:val="auto"/>
          <w:sz w:val="22"/>
          <w:szCs w:val="22"/>
        </w:rPr>
        <w:t xml:space="preserve">Szafa napędu podobciążeniowego przełącznika zaczepów, o stopniu ochrony IP54, zabezpieczona przed korozją w taki sam sposób jak powierzchnie zewnętrzne kadzi transformatora, ma być wyposażona w: </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mechaniczny licznik przełączeń,</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wskaźnik położenia: lokalny i zdalny,</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elektryczne gniazdo wtykowe zabezpieczone zabezpieczeniem namiarowo prądowym 16A,</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oświetlenie po otwarciu drzwi,</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grzejnik antykondesacyjny,</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mechanizm ręcznego przestawiania zaczepów wraz z odłączaną korba oraz blokadą sterowania elektrycznego,</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tabliczka znamionowa i schemat,</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nadajnik sygnałów w kodzie BCD (27 styków i matryca) wraz z odbiornikiem sygnałów do nastawni,</w:t>
      </w:r>
    </w:p>
    <w:p w:rsidR="00B26133" w:rsidRPr="00EE0198" w:rsidRDefault="00B26133" w:rsidP="000E6F19">
      <w:pPr>
        <w:pStyle w:val="Nagwek4"/>
        <w:keepNext w:val="0"/>
        <w:numPr>
          <w:ilvl w:val="0"/>
          <w:numId w:val="6"/>
        </w:numPr>
        <w:spacing w:before="0" w:after="0"/>
        <w:ind w:left="709" w:hanging="284"/>
        <w:jc w:val="both"/>
        <w:rPr>
          <w:rFonts w:ascii="Arial Narrow" w:hAnsi="Arial Narrow"/>
          <w:b w:val="0"/>
          <w:sz w:val="22"/>
          <w:szCs w:val="22"/>
        </w:rPr>
      </w:pPr>
      <w:r w:rsidRPr="00EE0198">
        <w:rPr>
          <w:rFonts w:ascii="Arial Narrow" w:hAnsi="Arial Narrow"/>
          <w:b w:val="0"/>
          <w:sz w:val="22"/>
          <w:szCs w:val="22"/>
        </w:rPr>
        <w:t>standardowe otwory zaślepione dławicami umożliwiające wprowadzenie kabli sterowniczych.</w:t>
      </w:r>
    </w:p>
    <w:p w:rsidR="00B26133" w:rsidRPr="00EE0198" w:rsidRDefault="00B26133" w:rsidP="000E6F19">
      <w:pPr>
        <w:pStyle w:val="Nagwek2"/>
        <w:spacing w:before="120" w:after="0"/>
        <w:ind w:left="425" w:hanging="425"/>
        <w:jc w:val="both"/>
        <w:rPr>
          <w:rFonts w:ascii="Arial Narrow" w:hAnsi="Arial Narrow"/>
          <w:b w:val="0"/>
          <w:i w:val="0"/>
          <w:color w:val="auto"/>
          <w:sz w:val="22"/>
          <w:szCs w:val="22"/>
        </w:rPr>
      </w:pPr>
      <w:r w:rsidRPr="00EE0198">
        <w:rPr>
          <w:rFonts w:ascii="Arial Narrow" w:hAnsi="Arial Narrow"/>
          <w:b w:val="0"/>
          <w:i w:val="0"/>
          <w:color w:val="auto"/>
          <w:sz w:val="22"/>
          <w:szCs w:val="22"/>
        </w:rPr>
        <w:t>Urządzenia zabezpieczające i wskaźniki:</w:t>
      </w:r>
    </w:p>
    <w:p w:rsidR="00B26133" w:rsidRPr="00EE0198" w:rsidRDefault="00AB6934" w:rsidP="00AB6934">
      <w:pPr>
        <w:pStyle w:val="Akapitzlist"/>
        <w:numPr>
          <w:ilvl w:val="0"/>
          <w:numId w:val="5"/>
        </w:numPr>
        <w:spacing w:after="0" w:line="240" w:lineRule="auto"/>
        <w:jc w:val="both"/>
        <w:rPr>
          <w:rFonts w:ascii="Arial Narrow" w:hAnsi="Arial Narrow"/>
        </w:rPr>
      </w:pPr>
      <w:r w:rsidRPr="00AB6934">
        <w:rPr>
          <w:rFonts w:ascii="Arial Narrow" w:hAnsi="Arial Narrow"/>
        </w:rPr>
        <w:t>jeden przekaźnik gazowo-przepływowy  (dla kadzi) i jeden przekaźnik przepływowy dla komory przełącznika</w:t>
      </w:r>
      <w:r w:rsidR="00B26133" w:rsidRPr="00EE0198">
        <w:rPr>
          <w:rFonts w:ascii="Arial Narrow" w:hAnsi="Arial Narrow"/>
        </w:rPr>
        <w:t xml:space="preserve"> zamontowane wyżej niż największy poziom oleju odpowiednio w kadzi </w:t>
      </w:r>
      <w:r w:rsidR="00D03A4C">
        <w:rPr>
          <w:rFonts w:ascii="Arial Narrow" w:hAnsi="Arial Narrow"/>
        </w:rPr>
        <w:br/>
      </w:r>
      <w:r w:rsidR="00B26133" w:rsidRPr="00EE0198">
        <w:rPr>
          <w:rFonts w:ascii="Arial Narrow" w:hAnsi="Arial Narrow"/>
        </w:rPr>
        <w:t>i komorze łącznika oraz poniżej minimalnego poziomu oleju w odpowiednich częściach konserwatora:</w:t>
      </w:r>
    </w:p>
    <w:p w:rsidR="00B26133" w:rsidRPr="00EE0198" w:rsidRDefault="00B26133" w:rsidP="005C0353">
      <w:pPr>
        <w:pStyle w:val="Akapitzlist"/>
        <w:numPr>
          <w:ilvl w:val="1"/>
          <w:numId w:val="5"/>
        </w:numPr>
        <w:spacing w:after="0" w:line="240" w:lineRule="auto"/>
        <w:ind w:left="1134"/>
        <w:jc w:val="both"/>
        <w:rPr>
          <w:rFonts w:ascii="Arial Narrow" w:hAnsi="Arial Narrow"/>
        </w:rPr>
      </w:pPr>
      <w:r w:rsidRPr="00EE0198">
        <w:rPr>
          <w:rFonts w:ascii="Arial Narrow" w:hAnsi="Arial Narrow"/>
        </w:rPr>
        <w:t>dwustopniowy przekaźnik kadzi zainstalowany w połączeniu olejowym pomiędzy kadzią i konserwatorem (obustronnie z kulowymi zaworami odcinającymi), wyposażony we wskaźniki umożliwiające obserwację zgromadzonej objętości gazu do poziomu alarmowego oraz wyposażony w dwie pary elektrycznie odizolowanych zestyków kontaktronowych (wyprowadzonych na listwę zaciskową szafy sterowniczej) zamykających się przy odpowiednio: przy powolnym nagromadzeniu się gazu i przy gwałtownym przepływie oleju.</w:t>
      </w:r>
    </w:p>
    <w:p w:rsidR="00B26133" w:rsidRPr="00EE0198" w:rsidRDefault="00B26133" w:rsidP="005C0353">
      <w:pPr>
        <w:pStyle w:val="Akapitzlist"/>
        <w:numPr>
          <w:ilvl w:val="1"/>
          <w:numId w:val="5"/>
        </w:numPr>
        <w:spacing w:after="0" w:line="240" w:lineRule="auto"/>
        <w:ind w:left="1134"/>
        <w:jc w:val="both"/>
        <w:rPr>
          <w:rFonts w:ascii="Arial Narrow" w:hAnsi="Arial Narrow"/>
        </w:rPr>
      </w:pPr>
      <w:r w:rsidRPr="00EE0198">
        <w:rPr>
          <w:rFonts w:ascii="Arial Narrow" w:hAnsi="Arial Narrow"/>
        </w:rPr>
        <w:t>jednostopniowy przekaźnik przełącznika zaczepów zainstalowany w połączeniu olejowym pomiędzy komorą łącznika, a częścią przełącznikową konserwatora, z kulowym zaworem odcinającym od strony konser</w:t>
      </w:r>
      <w:r w:rsidR="00FC2556">
        <w:rPr>
          <w:rFonts w:ascii="Arial Narrow" w:hAnsi="Arial Narrow"/>
        </w:rPr>
        <w:t>watora, wyposażony we wskaźniki</w:t>
      </w:r>
      <w:r w:rsidR="001B3946">
        <w:rPr>
          <w:rFonts w:ascii="Arial Narrow" w:hAnsi="Arial Narrow"/>
        </w:rPr>
        <w:t xml:space="preserve"> </w:t>
      </w:r>
      <w:r w:rsidRPr="00EE0198">
        <w:rPr>
          <w:rFonts w:ascii="Arial Narrow" w:hAnsi="Arial Narrow"/>
        </w:rPr>
        <w:t>zgromadzonej objętości gazu do poziomu alarmowego oraz wyposażony w zestyki kontaktronowe (wyprowadzonych na listwę zaciskową szafy sterowniczej) zamykających się przy gwałtownym przepływie oleju.</w:t>
      </w:r>
    </w:p>
    <w:p w:rsidR="00B26133" w:rsidRPr="00EE0198" w:rsidRDefault="00B26133" w:rsidP="005C0353">
      <w:pPr>
        <w:pStyle w:val="Akapitzlist"/>
        <w:numPr>
          <w:ilvl w:val="0"/>
          <w:numId w:val="5"/>
        </w:numPr>
        <w:spacing w:after="0" w:line="240" w:lineRule="auto"/>
        <w:ind w:left="794" w:hanging="284"/>
        <w:jc w:val="both"/>
        <w:rPr>
          <w:rFonts w:ascii="Arial Narrow" w:hAnsi="Arial Narrow"/>
        </w:rPr>
      </w:pPr>
      <w:r w:rsidRPr="00EE0198">
        <w:rPr>
          <w:rFonts w:ascii="Arial Narrow" w:hAnsi="Arial Narrow"/>
        </w:rPr>
        <w:t xml:space="preserve">ciśnieniowy zawór bezpieczeństwa o zintegrowanej obudowie kierunkowej wykonanej ze stali nierdzewnej, umożliwiającej bezpośrednie połączenie z systemem rurowym wykonanym ze stali nierdzewnej, o średnicy co </w:t>
      </w:r>
      <w:r w:rsidRPr="00EE0198">
        <w:rPr>
          <w:rFonts w:ascii="Arial Narrow" w:hAnsi="Arial Narrow"/>
        </w:rPr>
        <w:lastRenderedPageBreak/>
        <w:t>najmniej 80 mm, kierującej strumień oleju ku dołowi w obrębie stanowiska transformatora, wyposażony w  2 oddzielne pary styków zadziałania (sygnalizacja/wyłączenie), zamontowany na boku kadzi,</w:t>
      </w:r>
    </w:p>
    <w:p w:rsidR="00B26133" w:rsidRPr="003B7367" w:rsidRDefault="00B26133" w:rsidP="005C0353">
      <w:pPr>
        <w:pStyle w:val="Akapitzlist"/>
        <w:numPr>
          <w:ilvl w:val="0"/>
          <w:numId w:val="5"/>
        </w:numPr>
        <w:spacing w:after="0" w:line="240" w:lineRule="auto"/>
        <w:ind w:left="794" w:hanging="284"/>
        <w:jc w:val="both"/>
        <w:rPr>
          <w:rFonts w:ascii="Arial Narrow" w:hAnsi="Arial Narrow"/>
        </w:rPr>
      </w:pPr>
      <w:r w:rsidRPr="00EE0198">
        <w:rPr>
          <w:rFonts w:ascii="Arial Narrow" w:hAnsi="Arial Narrow"/>
        </w:rPr>
        <w:t xml:space="preserve">wskaźnik poziomu oleju ze sprzęgłem magnetycznym separującym element czujnika od wyświetlacza, ze szkłem wyświetlacza z filtrem UV, wyposażony w 3 styki sygnalizujące poziom oleju: wysoki, niski, krytycznie </w:t>
      </w:r>
      <w:r w:rsidRPr="003B7367">
        <w:rPr>
          <w:rFonts w:ascii="Arial Narrow" w:hAnsi="Arial Narrow"/>
        </w:rPr>
        <w:t>niski (High-Low-Critical Low) oraz dodatkowo um</w:t>
      </w:r>
      <w:r w:rsidR="00EE0198" w:rsidRPr="003B7367">
        <w:rPr>
          <w:rFonts w:ascii="Arial Narrow" w:hAnsi="Arial Narrow"/>
        </w:rPr>
        <w:t xml:space="preserve">ożliwiający  przesłanie sygnału </w:t>
      </w:r>
      <w:r w:rsidRPr="003B7367">
        <w:rPr>
          <w:rFonts w:ascii="Arial Narrow" w:hAnsi="Arial Narrow"/>
        </w:rPr>
        <w:t>do zdalnego odczytu poziomu oleju przez system dyspozytorski SCADA (wyj. 4-20 mA),</w:t>
      </w:r>
    </w:p>
    <w:p w:rsidR="00B26133" w:rsidRPr="003B7367" w:rsidRDefault="00B26133" w:rsidP="005C0353">
      <w:pPr>
        <w:pStyle w:val="Akapitzlist"/>
        <w:numPr>
          <w:ilvl w:val="0"/>
          <w:numId w:val="5"/>
        </w:numPr>
        <w:spacing w:after="0" w:line="240" w:lineRule="auto"/>
        <w:ind w:left="794" w:hanging="284"/>
        <w:jc w:val="both"/>
        <w:rPr>
          <w:rFonts w:ascii="Arial Narrow" w:hAnsi="Arial Narrow"/>
        </w:rPr>
      </w:pPr>
      <w:r w:rsidRPr="003B7367">
        <w:rPr>
          <w:rFonts w:ascii="Arial Narrow" w:hAnsi="Arial Narrow"/>
        </w:rPr>
        <w:t>wskaźniki temperatury:</w:t>
      </w:r>
    </w:p>
    <w:p w:rsidR="00B26133" w:rsidRPr="003B7367" w:rsidRDefault="00B26133" w:rsidP="00F96570">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oleju - termometr tarczowy czterokontaktowy ze szkłem wyświetlacza z filtrem UV, z kapilarą bezciśnieniową wykonaną z miedzi lub stopu miedzi i niklu z płaszczem ze stali nierdzewnej (kapilara umieszczona w kieszeni termometrowej</w:t>
      </w:r>
      <w:r w:rsidR="004F0D00" w:rsidRPr="003B7367">
        <w:rPr>
          <w:rFonts w:ascii="Arial Narrow" w:hAnsi="Arial Narrow"/>
        </w:rPr>
        <w:t>,</w:t>
      </w:r>
      <w:r w:rsidRPr="003B7367">
        <w:rPr>
          <w:rFonts w:ascii="Arial Narrow" w:hAnsi="Arial Narrow"/>
        </w:rPr>
        <w:t xml:space="preserve"> w pokrywie kadzi w sposób zapewniający tłumienie drgań</w:t>
      </w:r>
      <w:r w:rsidR="004F0D00" w:rsidRPr="003B7367">
        <w:rPr>
          <w:rFonts w:ascii="Arial Narrow" w:hAnsi="Arial Narrow"/>
        </w:rPr>
        <w:t xml:space="preserve"> pochodzących od </w:t>
      </w:r>
      <w:r w:rsidRPr="003B7367">
        <w:rPr>
          <w:rFonts w:ascii="Arial Narrow" w:hAnsi="Arial Narrow"/>
        </w:rPr>
        <w:t xml:space="preserve"> transformatora), z utrwaleniem maksymalnej pomierzonej temperatury (tzw. maksigraf lub wskazówka wleczona),</w:t>
      </w:r>
      <w:r w:rsidRPr="003B7367">
        <w:rPr>
          <w:rFonts w:ascii="Arial Narrow" w:hAnsi="Arial Narrow" w:cs="Calibri"/>
        </w:rPr>
        <w:t xml:space="preserve"> umożliwiający</w:t>
      </w:r>
      <w:r w:rsidR="00921D30" w:rsidRPr="003B7367">
        <w:rPr>
          <w:rFonts w:ascii="Arial Narrow" w:hAnsi="Arial Narrow" w:cs="Calibri"/>
        </w:rPr>
        <w:t xml:space="preserve"> </w:t>
      </w:r>
      <w:r w:rsidRPr="003B7367">
        <w:rPr>
          <w:rFonts w:ascii="Arial Narrow" w:hAnsi="Arial Narrow" w:cs="Calibri"/>
        </w:rPr>
        <w:t>przesłanie sygnału do zdalnego odczytu temperatury przez system dyspozytorski SCADA (wyj. 4</w:t>
      </w:r>
      <w:r w:rsidRPr="003B7367">
        <w:rPr>
          <w:rFonts w:ascii="Arial Narrow" w:hAnsi="Arial Narrow" w:cs="Calibri"/>
        </w:rPr>
        <w:noBreakHyphen/>
        <w:t>20 mA), dla transformatora o mocach znamionowych 16</w:t>
      </w:r>
      <w:r w:rsidR="00773D01" w:rsidRPr="003B7367">
        <w:rPr>
          <w:rFonts w:ascii="Arial Narrow" w:hAnsi="Arial Narrow" w:cs="Calibri"/>
        </w:rPr>
        <w:t>,</w:t>
      </w:r>
      <w:r w:rsidR="00DE747F" w:rsidRPr="003B7367">
        <w:rPr>
          <w:rFonts w:ascii="Arial Narrow" w:hAnsi="Arial Narrow" w:cs="Calibri"/>
        </w:rPr>
        <w:t xml:space="preserve">  25</w:t>
      </w:r>
      <w:r w:rsidR="00773D01" w:rsidRPr="003B7367">
        <w:rPr>
          <w:rFonts w:ascii="Arial Narrow" w:hAnsi="Arial Narrow" w:cs="Calibri"/>
        </w:rPr>
        <w:t xml:space="preserve"> i 31,5</w:t>
      </w:r>
      <w:r w:rsidR="00E50780" w:rsidRPr="003B7367">
        <w:rPr>
          <w:rFonts w:ascii="Arial Narrow" w:hAnsi="Arial Narrow" w:cs="Calibri"/>
        </w:rPr>
        <w:t xml:space="preserve"> MVA</w:t>
      </w:r>
      <w:r w:rsidRPr="003B7367">
        <w:rPr>
          <w:rFonts w:ascii="Arial Narrow" w:hAnsi="Arial Narrow" w:cs="Calibri"/>
        </w:rPr>
        <w:t>,</w:t>
      </w:r>
    </w:p>
    <w:p w:rsidR="00B26133" w:rsidRPr="003B7367" w:rsidRDefault="00B26133" w:rsidP="00F96570">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oleju - przy wykorzystaniu czujnika termoelektrycznego (czujnik termoelektryczny umieszczony w kieszeni termometrowej w pokrywie kadzi w sposób zapewniający tłumienie drgań</w:t>
      </w:r>
      <w:r w:rsidR="004F0D00" w:rsidRPr="003B7367">
        <w:rPr>
          <w:rFonts w:ascii="Arial Narrow" w:hAnsi="Arial Narrow"/>
        </w:rPr>
        <w:t xml:space="preserve"> pochodzących od</w:t>
      </w:r>
      <w:r w:rsidRPr="003B7367">
        <w:rPr>
          <w:rFonts w:ascii="Arial Narrow" w:hAnsi="Arial Narrow"/>
        </w:rPr>
        <w:t xml:space="preserve"> transformatora)</w:t>
      </w:r>
      <w:r w:rsidRPr="003B7367">
        <w:rPr>
          <w:rFonts w:ascii="Arial Narrow" w:hAnsi="Arial Narrow" w:cs="Calibri"/>
        </w:rPr>
        <w:t xml:space="preserve"> umożliwiający wyświetlenie temperatury przez cyfrowy wskaźnik zainstalowany w nastawni, dla transformatora o mocach znamionowych </w:t>
      </w:r>
      <w:r w:rsidR="00FF48F7" w:rsidRPr="003B7367">
        <w:rPr>
          <w:rFonts w:ascii="Arial Narrow" w:hAnsi="Arial Narrow" w:cs="Calibri"/>
        </w:rPr>
        <w:t>16</w:t>
      </w:r>
      <w:r w:rsidR="00773D01" w:rsidRPr="003B7367">
        <w:rPr>
          <w:rFonts w:ascii="Arial Narrow" w:hAnsi="Arial Narrow" w:cs="Calibri"/>
        </w:rPr>
        <w:t xml:space="preserve">, </w:t>
      </w:r>
      <w:r w:rsidR="00FF48F7" w:rsidRPr="003B7367">
        <w:rPr>
          <w:rFonts w:ascii="Arial Narrow" w:hAnsi="Arial Narrow" w:cs="Calibri"/>
        </w:rPr>
        <w:t>25</w:t>
      </w:r>
      <w:r w:rsidR="00773D01" w:rsidRPr="003B7367">
        <w:rPr>
          <w:rFonts w:ascii="Arial Narrow" w:hAnsi="Arial Narrow" w:cs="Calibri"/>
        </w:rPr>
        <w:t xml:space="preserve"> i 31,5</w:t>
      </w:r>
      <w:r w:rsidR="00FF48F7" w:rsidRPr="003B7367">
        <w:rPr>
          <w:rFonts w:ascii="Arial Narrow" w:hAnsi="Arial Narrow" w:cs="Calibri"/>
        </w:rPr>
        <w:t xml:space="preserve"> MVA</w:t>
      </w:r>
      <w:r w:rsidRPr="003B7367">
        <w:rPr>
          <w:rFonts w:ascii="Arial Narrow" w:hAnsi="Arial Narrow" w:cs="Calibri"/>
        </w:rPr>
        <w:t>,</w:t>
      </w:r>
    </w:p>
    <w:p w:rsidR="00B26133" w:rsidRPr="003B7367" w:rsidRDefault="00B26133" w:rsidP="00F96570">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uzwojenia transformatora – przy wykorzystaniu termometru z kapilarą bezciśnieniową wykonaną z miedzi lub stopu miedzi i niklu z płaszczem ze stali nierdzewnej (kapilara umieszczona w kieszeni termometrowej w pokrywie kadzi w sposób zapewniający tłumienie drgań</w:t>
      </w:r>
      <w:r w:rsidR="004F0D00" w:rsidRPr="003B7367">
        <w:rPr>
          <w:rFonts w:ascii="Arial Narrow" w:hAnsi="Arial Narrow"/>
        </w:rPr>
        <w:t xml:space="preserve"> pochodzących od</w:t>
      </w:r>
      <w:r w:rsidRPr="003B7367">
        <w:rPr>
          <w:rFonts w:ascii="Arial Narrow" w:hAnsi="Arial Narrow"/>
        </w:rPr>
        <w:t xml:space="preserve"> transformatora), </w:t>
      </w:r>
      <w:r w:rsidRPr="003B7367">
        <w:rPr>
          <w:rFonts w:ascii="Arial Narrow" w:hAnsi="Arial Narrow" w:cs="Calibri"/>
        </w:rPr>
        <w:t xml:space="preserve">z przetwornikiem z wbudowanym modelem cieplnym zaprogramowanym na podstawie próby cieplnej, przy wykorzystaniu przekładników prądowych </w:t>
      </w:r>
      <w:r w:rsidR="004F0D00" w:rsidRPr="003B7367">
        <w:rPr>
          <w:rFonts w:ascii="Arial Narrow" w:hAnsi="Arial Narrow" w:cs="Calibri"/>
        </w:rPr>
        <w:t xml:space="preserve">DN </w:t>
      </w:r>
      <w:r w:rsidRPr="003B7367">
        <w:rPr>
          <w:rFonts w:ascii="Arial Narrow" w:hAnsi="Arial Narrow" w:cs="Calibri"/>
        </w:rPr>
        <w:t xml:space="preserve">zamontowanych w transformatorze, dla transformatora o mocach znamionowych </w:t>
      </w:r>
      <w:r w:rsidR="00DE747F" w:rsidRPr="003B7367">
        <w:rPr>
          <w:rFonts w:ascii="Arial Narrow" w:hAnsi="Arial Narrow" w:cs="Calibri"/>
        </w:rPr>
        <w:t>16</w:t>
      </w:r>
      <w:r w:rsidR="00773D01" w:rsidRPr="003B7367">
        <w:rPr>
          <w:rFonts w:ascii="Arial Narrow" w:hAnsi="Arial Narrow" w:cs="Calibri"/>
        </w:rPr>
        <w:t>,</w:t>
      </w:r>
      <w:r w:rsidR="00DE747F" w:rsidRPr="003B7367">
        <w:rPr>
          <w:rFonts w:ascii="Arial Narrow" w:hAnsi="Arial Narrow" w:cs="Calibri"/>
        </w:rPr>
        <w:t> 25</w:t>
      </w:r>
      <w:r w:rsidR="00773D01" w:rsidRPr="003B7367">
        <w:rPr>
          <w:rFonts w:ascii="Arial Narrow" w:hAnsi="Arial Narrow" w:cs="Calibri"/>
        </w:rPr>
        <w:t xml:space="preserve"> i 31,5</w:t>
      </w:r>
      <w:r w:rsidR="00DE747F" w:rsidRPr="003B7367">
        <w:rPr>
          <w:rFonts w:ascii="Arial Narrow" w:hAnsi="Arial Narrow" w:cs="Calibri"/>
        </w:rPr>
        <w:t xml:space="preserve"> MVA</w:t>
      </w:r>
      <w:r w:rsidR="00A97CDE" w:rsidRPr="003B7367">
        <w:rPr>
          <w:rFonts w:ascii="Arial Narrow" w:hAnsi="Arial Narrow" w:cs="Calibri"/>
        </w:rPr>
        <w:t>,</w:t>
      </w:r>
    </w:p>
    <w:p w:rsidR="00A97CDE" w:rsidRPr="003B7367" w:rsidRDefault="00A97CDE" w:rsidP="00F96570">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uzwojenia transformatora - przy wykorzystaniu światłowodowego systemu pomiaru temperatury gorącego punktu (hot-spot) dla transformatora o mocy znamionowej 25</w:t>
      </w:r>
      <w:r w:rsidR="00773D01" w:rsidRPr="003B7367">
        <w:rPr>
          <w:rFonts w:ascii="Arial Narrow" w:hAnsi="Arial Narrow"/>
        </w:rPr>
        <w:t xml:space="preserve"> i 31,5</w:t>
      </w:r>
      <w:r w:rsidRPr="003B7367">
        <w:rPr>
          <w:rFonts w:ascii="Arial Narrow" w:hAnsi="Arial Narrow"/>
        </w:rPr>
        <w:t xml:space="preserve"> MVA</w:t>
      </w:r>
      <w:r w:rsidR="00AB6934" w:rsidRPr="003B7367">
        <w:rPr>
          <w:rFonts w:ascii="Arial Narrow" w:hAnsi="Arial Narrow"/>
        </w:rPr>
        <w:t xml:space="preserve"> (zamontowany tylko system bez miernika temperatury)</w:t>
      </w:r>
      <w:r w:rsidRPr="003B7367">
        <w:rPr>
          <w:rFonts w:ascii="Arial Narrow" w:hAnsi="Arial Narrow"/>
        </w:rPr>
        <w:t>,</w:t>
      </w:r>
    </w:p>
    <w:p w:rsidR="00A97CDE" w:rsidRPr="003B7367" w:rsidRDefault="00A97CDE" w:rsidP="000E6F19">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rdzenia transformatora – przy wykorzystaniu światłowodowego systemu pomiaru temperatury gorącego punktu (hot-spot) dla transformatora o mocy znamionowej 25</w:t>
      </w:r>
      <w:r w:rsidR="00773D01" w:rsidRPr="003B7367">
        <w:rPr>
          <w:rFonts w:ascii="Arial Narrow" w:hAnsi="Arial Narrow"/>
        </w:rPr>
        <w:t xml:space="preserve"> i 31,5</w:t>
      </w:r>
      <w:r w:rsidRPr="003B7367">
        <w:rPr>
          <w:rFonts w:ascii="Arial Narrow" w:hAnsi="Arial Narrow"/>
        </w:rPr>
        <w:t xml:space="preserve"> MVA (zamontowany tylko system bez miernika temperatury),</w:t>
      </w:r>
    </w:p>
    <w:p w:rsidR="00A97CDE" w:rsidRPr="003B7367" w:rsidRDefault="00A97CDE" w:rsidP="000E6F19">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 xml:space="preserve">temperatury zewnętrznej - przy wykorzystaniu światłowodowego systemu pomiaru temperatury dla transformatora o mocy znamionowej 25 </w:t>
      </w:r>
      <w:r w:rsidR="00773D01" w:rsidRPr="003B7367">
        <w:rPr>
          <w:rFonts w:ascii="Arial Narrow" w:hAnsi="Arial Narrow"/>
        </w:rPr>
        <w:t xml:space="preserve">i 31,5 </w:t>
      </w:r>
      <w:r w:rsidRPr="003B7367">
        <w:rPr>
          <w:rFonts w:ascii="Arial Narrow" w:hAnsi="Arial Narrow"/>
        </w:rPr>
        <w:t>MVA</w:t>
      </w:r>
      <w:r w:rsidR="00AB6934" w:rsidRPr="003B7367">
        <w:rPr>
          <w:rFonts w:ascii="Arial Narrow" w:hAnsi="Arial Narrow"/>
        </w:rPr>
        <w:t xml:space="preserve"> (zamontowany tylko system bez miernika temperatury)</w:t>
      </w:r>
      <w:r w:rsidRPr="003B7367">
        <w:rPr>
          <w:rFonts w:ascii="Arial Narrow" w:hAnsi="Arial Narrow"/>
        </w:rPr>
        <w:t>.</w:t>
      </w:r>
    </w:p>
    <w:p w:rsidR="00A97CDE" w:rsidRPr="003B7367" w:rsidRDefault="00A97CDE" w:rsidP="000E6F19">
      <w:pPr>
        <w:spacing w:after="0" w:line="240" w:lineRule="auto"/>
        <w:ind w:left="851"/>
        <w:jc w:val="both"/>
        <w:rPr>
          <w:rFonts w:ascii="Arial Narrow" w:hAnsi="Arial Narrow"/>
        </w:rPr>
      </w:pPr>
      <w:r w:rsidRPr="003B7367">
        <w:rPr>
          <w:rFonts w:ascii="Arial Narrow" w:hAnsi="Arial Narrow"/>
        </w:rPr>
        <w:t xml:space="preserve">Światłowodowy system pomiaru temperatury ma składać się z następujących elementów: </w:t>
      </w:r>
      <w:r w:rsidR="001A36E7" w:rsidRPr="003B7367">
        <w:rPr>
          <w:rFonts w:ascii="Arial Narrow" w:hAnsi="Arial Narrow"/>
        </w:rPr>
        <w:t xml:space="preserve">8 </w:t>
      </w:r>
      <w:r w:rsidRPr="003B7367">
        <w:rPr>
          <w:rFonts w:ascii="Arial Narrow" w:hAnsi="Arial Narrow"/>
        </w:rPr>
        <w:t>sond światłowodowych</w:t>
      </w:r>
      <w:r w:rsidR="00AB6934" w:rsidRPr="003B7367">
        <w:rPr>
          <w:rFonts w:ascii="Arial Narrow" w:hAnsi="Arial Narrow"/>
        </w:rPr>
        <w:t xml:space="preserve"> (światłowód posiadający nacięcie pozwalające na odprowadzenie powietrza podczas próżni)</w:t>
      </w:r>
      <w:r w:rsidRPr="003B7367">
        <w:rPr>
          <w:rFonts w:ascii="Arial Narrow" w:hAnsi="Arial Narrow"/>
        </w:rPr>
        <w:t xml:space="preserve">: 6 temperatury uzwojeń, 1 temperatury rdzenia, o dokładności ±1oC, odpornych na rozpuszczalniki i środki chemiczne, posiadających jednolitą osłonę umożliwiającą równomierne nasycenie olejem oraz 1 sondy światłowodowej temperatury zewnętrznej, </w:t>
      </w:r>
      <w:r w:rsidR="001A36E7" w:rsidRPr="003B7367">
        <w:rPr>
          <w:rFonts w:ascii="Arial Narrow" w:hAnsi="Arial Narrow"/>
        </w:rPr>
        <w:t xml:space="preserve">8 </w:t>
      </w:r>
      <w:r w:rsidRPr="003B7367">
        <w:rPr>
          <w:rFonts w:ascii="Arial Narrow" w:hAnsi="Arial Narrow"/>
        </w:rPr>
        <w:t>przepustów optycznych sond światłowodowych zapewniających łączenie i uszczelnienie bez uszczelek i elementów epoksydowych oraz szczelnej skrzynki przyłączeniowej światłowodów kształtem dopasowanej do kadzi transformatora</w:t>
      </w:r>
      <w:r w:rsidR="00B95C27" w:rsidRPr="003B7367">
        <w:rPr>
          <w:rFonts w:ascii="Arial Narrow" w:hAnsi="Arial Narrow"/>
        </w:rPr>
        <w:t xml:space="preserve"> posiadającej połączenie ze światłowodem ST (do połączenia z przepustem i/lub urządzeniami odczytującymi/rejestrującymi). Światłowody ST wyprowadzić</w:t>
      </w:r>
      <w:r w:rsidR="00855DC2" w:rsidRPr="003B7367">
        <w:rPr>
          <w:rFonts w:ascii="Arial Narrow" w:hAnsi="Arial Narrow"/>
        </w:rPr>
        <w:t xml:space="preserve"> w szafce sterowniczej transformatora </w:t>
      </w:r>
      <w:r w:rsidR="00B95C27" w:rsidRPr="003B7367">
        <w:rPr>
          <w:rFonts w:ascii="Arial Narrow" w:hAnsi="Arial Narrow"/>
        </w:rPr>
        <w:t>w sposób pozwalający</w:t>
      </w:r>
      <w:r w:rsidR="00855DC2" w:rsidRPr="003B7367">
        <w:rPr>
          <w:rFonts w:ascii="Arial Narrow" w:hAnsi="Arial Narrow"/>
        </w:rPr>
        <w:t xml:space="preserve"> na przyłączenie</w:t>
      </w:r>
      <w:r w:rsidR="00FD3AE5" w:rsidRPr="003B7367">
        <w:rPr>
          <w:rFonts w:ascii="Arial Narrow" w:hAnsi="Arial Narrow"/>
        </w:rPr>
        <w:t xml:space="preserve"> przenośnego miernika</w:t>
      </w:r>
      <w:r w:rsidR="00855DC2" w:rsidRPr="003B7367">
        <w:rPr>
          <w:rFonts w:ascii="Arial Narrow" w:hAnsi="Arial Narrow"/>
        </w:rPr>
        <w:t xml:space="preserve"> w czasie </w:t>
      </w:r>
      <w:r w:rsidR="00FD3AE5" w:rsidRPr="003B7367">
        <w:rPr>
          <w:rFonts w:ascii="Arial Narrow" w:hAnsi="Arial Narrow"/>
        </w:rPr>
        <w:t xml:space="preserve">pracy </w:t>
      </w:r>
      <w:r w:rsidR="00855DC2" w:rsidRPr="003B7367">
        <w:rPr>
          <w:rFonts w:ascii="Arial Narrow" w:hAnsi="Arial Narrow"/>
        </w:rPr>
        <w:t>transformatora</w:t>
      </w:r>
      <w:r w:rsidR="00B95C27" w:rsidRPr="003B7367">
        <w:rPr>
          <w:rFonts w:ascii="Arial Narrow" w:hAnsi="Arial Narrow"/>
        </w:rPr>
        <w:t>.</w:t>
      </w:r>
      <w:r w:rsidRPr="003B7367">
        <w:rPr>
          <w:rFonts w:ascii="Arial Narrow" w:hAnsi="Arial Narrow"/>
        </w:rPr>
        <w:t xml:space="preserve"> Światłowodowy system pomiaru temperatury ma umożliwiać podłączenie przenośnego miernika zasilanego bateriami/akumulatorami i pozwalającego zapisywać na karcie pamięci wyniki pomiarów. W skład zestawu nie wchodzi moduł optyczny gorących punktów jak i również światłowodowy przenośny miernik temperatury.</w:t>
      </w:r>
    </w:p>
    <w:p w:rsidR="00A97CDE" w:rsidRPr="003B7367" w:rsidRDefault="00A97CDE" w:rsidP="000E6F19">
      <w:pPr>
        <w:spacing w:after="0" w:line="240" w:lineRule="auto"/>
        <w:ind w:left="851"/>
        <w:jc w:val="both"/>
        <w:rPr>
          <w:rFonts w:ascii="Arial Narrow" w:hAnsi="Arial Narrow"/>
        </w:rPr>
      </w:pPr>
      <w:r w:rsidRPr="003B7367">
        <w:rPr>
          <w:rFonts w:ascii="Arial Narrow" w:hAnsi="Arial Narrow"/>
        </w:rPr>
        <w:t>Sondy powinny być rozmieszczone w następujący sposób:</w:t>
      </w:r>
    </w:p>
    <w:p w:rsidR="00A97CDE" w:rsidRPr="003B7367" w:rsidRDefault="00A97CDE" w:rsidP="004B4610">
      <w:pPr>
        <w:pStyle w:val="Akapitzlist"/>
        <w:numPr>
          <w:ilvl w:val="1"/>
          <w:numId w:val="5"/>
        </w:numPr>
        <w:spacing w:after="0" w:line="240" w:lineRule="auto"/>
        <w:jc w:val="both"/>
        <w:rPr>
          <w:rFonts w:ascii="Arial Narrow" w:hAnsi="Arial Narrow"/>
        </w:rPr>
      </w:pPr>
      <w:r w:rsidRPr="003B7367">
        <w:rPr>
          <w:rFonts w:ascii="Arial Narrow" w:hAnsi="Arial Narrow"/>
        </w:rPr>
        <w:t>po jednej sondzie na każdej fazie uzwojenia, umieszczonej w górnej części uzwojenia GN (w najcieplejszym miejscu uzwojenia</w:t>
      </w:r>
      <w:r w:rsidR="004B4610" w:rsidRPr="003B7367">
        <w:rPr>
          <w:rFonts w:ascii="Arial Narrow" w:hAnsi="Arial Narrow"/>
        </w:rPr>
        <w:t>– tzw. Hot-spot</w:t>
      </w:r>
      <w:r w:rsidRPr="003B7367">
        <w:rPr>
          <w:rFonts w:ascii="Arial Narrow" w:hAnsi="Arial Narrow"/>
        </w:rPr>
        <w:t>),</w:t>
      </w:r>
    </w:p>
    <w:p w:rsidR="00A97CDE" w:rsidRPr="003B7367" w:rsidRDefault="00A97CDE" w:rsidP="000E6F19">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po jednej sondzie na każdej fazie uzwojenia, umieszczonej w górnej części uzwojenia DN1 i DN2 (w najcieplejszym miejscu uzwojenia – tzw. Hot-spot).</w:t>
      </w:r>
    </w:p>
    <w:p w:rsidR="00A97CDE" w:rsidRPr="003B7367" w:rsidRDefault="00A97CDE" w:rsidP="000E6F19">
      <w:pPr>
        <w:pStyle w:val="Akapitzlist"/>
        <w:numPr>
          <w:ilvl w:val="1"/>
          <w:numId w:val="5"/>
        </w:numPr>
        <w:spacing w:after="0" w:line="240" w:lineRule="auto"/>
        <w:ind w:left="1135" w:hanging="284"/>
        <w:jc w:val="both"/>
        <w:rPr>
          <w:rFonts w:ascii="Arial Narrow" w:hAnsi="Arial Narrow"/>
        </w:rPr>
      </w:pPr>
      <w:r w:rsidRPr="003B7367">
        <w:rPr>
          <w:rFonts w:ascii="Arial Narrow" w:hAnsi="Arial Narrow"/>
        </w:rPr>
        <w:t>jedna sonda umieszczona w rdzeniu transformatora w górnej części środkowego jarzma. Aby nie dopuścić do uszkodzenia sondy, w zależności od konstrukcji rdzenia, sondę należy umieścić w zablokowanym kanale chłodzącym lub jeśli taki nie występuje, sondę umieszczoną w przekładce należy przykleić do rdzenia w środkowej górnej części.</w:t>
      </w:r>
    </w:p>
    <w:p w:rsidR="00B26133" w:rsidRPr="003B7367" w:rsidRDefault="00B26133" w:rsidP="000E6F19">
      <w:pPr>
        <w:pStyle w:val="Nagwek2"/>
        <w:spacing w:before="120"/>
        <w:ind w:left="510" w:hanging="510"/>
        <w:jc w:val="both"/>
        <w:rPr>
          <w:rFonts w:ascii="Arial Narrow" w:hAnsi="Arial Narrow"/>
          <w:b w:val="0"/>
          <w:i w:val="0"/>
          <w:color w:val="auto"/>
          <w:sz w:val="22"/>
          <w:szCs w:val="22"/>
        </w:rPr>
      </w:pPr>
      <w:r w:rsidRPr="003B7367">
        <w:rPr>
          <w:rFonts w:ascii="Arial Narrow" w:hAnsi="Arial Narrow"/>
          <w:b w:val="0"/>
          <w:i w:val="0"/>
          <w:color w:val="auto"/>
          <w:sz w:val="22"/>
          <w:szCs w:val="22"/>
        </w:rPr>
        <w:t xml:space="preserve">Szafa sterownicza urządzeń zabezpieczających i wskaźników, </w:t>
      </w:r>
      <w:r w:rsidRPr="003B7367">
        <w:rPr>
          <w:rFonts w:ascii="Arial Narrow" w:hAnsi="Arial Narrow" w:cs="Calibri"/>
          <w:b w:val="0"/>
          <w:i w:val="0"/>
          <w:color w:val="auto"/>
          <w:sz w:val="22"/>
          <w:szCs w:val="22"/>
        </w:rPr>
        <w:t xml:space="preserve">o stopniu ochrony IP54, </w:t>
      </w:r>
      <w:r w:rsidRPr="003B7367">
        <w:rPr>
          <w:rFonts w:ascii="Arial Narrow" w:hAnsi="Arial Narrow"/>
          <w:b w:val="0"/>
          <w:i w:val="0"/>
          <w:color w:val="auto"/>
          <w:sz w:val="22"/>
          <w:szCs w:val="22"/>
        </w:rPr>
        <w:t>zabezpieczona przed korozją w taki sam sposób jak powierzchnie zewnętrzne</w:t>
      </w:r>
      <w:r w:rsidRPr="003B7367">
        <w:rPr>
          <w:rFonts w:ascii="Arial Narrow" w:hAnsi="Arial Narrow"/>
          <w:color w:val="auto"/>
          <w:sz w:val="22"/>
          <w:szCs w:val="22"/>
        </w:rPr>
        <w:t xml:space="preserve"> </w:t>
      </w:r>
      <w:r w:rsidRPr="003B7367">
        <w:rPr>
          <w:rFonts w:ascii="Arial Narrow" w:hAnsi="Arial Narrow"/>
          <w:b w:val="0"/>
          <w:i w:val="0"/>
          <w:color w:val="auto"/>
          <w:sz w:val="22"/>
          <w:szCs w:val="22"/>
        </w:rPr>
        <w:t>kadzi transformatora,</w:t>
      </w:r>
      <w:r w:rsidRPr="003B7367">
        <w:rPr>
          <w:rFonts w:ascii="Arial Narrow" w:hAnsi="Arial Narrow" w:cs="Calibri"/>
          <w:b w:val="0"/>
          <w:i w:val="0"/>
          <w:color w:val="auto"/>
          <w:sz w:val="22"/>
          <w:szCs w:val="22"/>
        </w:rPr>
        <w:t xml:space="preserve"> ma być wyposażona w:</w:t>
      </w:r>
    </w:p>
    <w:p w:rsidR="00B26133" w:rsidRPr="003B7367" w:rsidRDefault="00B26133" w:rsidP="000E6F19">
      <w:pPr>
        <w:pStyle w:val="Nagwek4"/>
        <w:keepNext w:val="0"/>
        <w:numPr>
          <w:ilvl w:val="0"/>
          <w:numId w:val="7"/>
        </w:numPr>
        <w:spacing w:before="0" w:after="0"/>
        <w:ind w:left="851"/>
        <w:jc w:val="both"/>
        <w:rPr>
          <w:rFonts w:ascii="Arial Narrow" w:hAnsi="Arial Narrow"/>
          <w:b w:val="0"/>
          <w:sz w:val="22"/>
          <w:szCs w:val="22"/>
        </w:rPr>
      </w:pPr>
      <w:r w:rsidRPr="003B7367">
        <w:rPr>
          <w:rFonts w:ascii="Arial Narrow" w:hAnsi="Arial Narrow"/>
          <w:b w:val="0"/>
          <w:sz w:val="22"/>
          <w:szCs w:val="22"/>
        </w:rPr>
        <w:t>oświetlenie po otwarciu drzwi,</w:t>
      </w:r>
    </w:p>
    <w:p w:rsidR="00B26133" w:rsidRPr="003B7367" w:rsidRDefault="00B26133" w:rsidP="000E6F19">
      <w:pPr>
        <w:pStyle w:val="Nagwek4"/>
        <w:keepNext w:val="0"/>
        <w:numPr>
          <w:ilvl w:val="0"/>
          <w:numId w:val="7"/>
        </w:numPr>
        <w:spacing w:before="0" w:after="0"/>
        <w:ind w:left="851"/>
        <w:jc w:val="both"/>
        <w:rPr>
          <w:rFonts w:ascii="Arial Narrow" w:hAnsi="Arial Narrow"/>
          <w:b w:val="0"/>
          <w:sz w:val="22"/>
          <w:szCs w:val="22"/>
        </w:rPr>
      </w:pPr>
      <w:r w:rsidRPr="003B7367">
        <w:rPr>
          <w:rFonts w:ascii="Arial Narrow" w:hAnsi="Arial Narrow"/>
          <w:b w:val="0"/>
          <w:sz w:val="22"/>
          <w:szCs w:val="22"/>
        </w:rPr>
        <w:t>grzejnik z termostatem,</w:t>
      </w:r>
    </w:p>
    <w:p w:rsidR="00B26133" w:rsidRPr="003B7367" w:rsidRDefault="00B26133" w:rsidP="000E6F19">
      <w:pPr>
        <w:pStyle w:val="Nagwek4"/>
        <w:keepNext w:val="0"/>
        <w:numPr>
          <w:ilvl w:val="0"/>
          <w:numId w:val="7"/>
        </w:numPr>
        <w:spacing w:before="0" w:after="0"/>
        <w:ind w:left="851"/>
        <w:jc w:val="both"/>
        <w:rPr>
          <w:rFonts w:ascii="Arial Narrow" w:hAnsi="Arial Narrow"/>
          <w:b w:val="0"/>
          <w:sz w:val="22"/>
          <w:szCs w:val="22"/>
        </w:rPr>
      </w:pPr>
      <w:r w:rsidRPr="003B7367">
        <w:rPr>
          <w:rFonts w:ascii="Arial Narrow" w:hAnsi="Arial Narrow"/>
          <w:b w:val="0"/>
          <w:sz w:val="22"/>
          <w:szCs w:val="22"/>
        </w:rPr>
        <w:t>tabliczka znamionowa i schemat,</w:t>
      </w:r>
    </w:p>
    <w:p w:rsidR="00D03A4C" w:rsidRDefault="00B26133" w:rsidP="000E6F19">
      <w:pPr>
        <w:spacing w:after="0" w:line="240" w:lineRule="auto"/>
        <w:ind w:left="510"/>
        <w:jc w:val="both"/>
        <w:rPr>
          <w:rFonts w:ascii="Arial Narrow" w:hAnsi="Arial Narrow"/>
        </w:rPr>
      </w:pPr>
      <w:r w:rsidRPr="00EE0198">
        <w:rPr>
          <w:rFonts w:ascii="Arial Narrow" w:hAnsi="Arial Narrow"/>
        </w:rPr>
        <w:lastRenderedPageBreak/>
        <w:t>Dopuszcza się, jako alternatywne rozwiązanie, stosowanie dwóch szaf: sterowniczej i sterowania wentylatorami, po spełnieniu powyższych wymagań dla każdej z nich.</w:t>
      </w:r>
    </w:p>
    <w:p w:rsidR="00D03A4C" w:rsidRDefault="00D03A4C" w:rsidP="000E6F19">
      <w:pPr>
        <w:spacing w:after="0" w:line="240" w:lineRule="auto"/>
        <w:ind w:left="510"/>
        <w:jc w:val="both"/>
        <w:rPr>
          <w:rFonts w:ascii="Arial Narrow" w:hAnsi="Arial Narrow"/>
        </w:rPr>
      </w:pPr>
    </w:p>
    <w:p w:rsidR="005E6CB3" w:rsidRDefault="005E6CB3" w:rsidP="000E6F19">
      <w:pPr>
        <w:pStyle w:val="Nagwek1"/>
        <w:spacing w:before="0"/>
        <w:ind w:left="431" w:hanging="431"/>
        <w:jc w:val="both"/>
        <w:rPr>
          <w:rFonts w:ascii="Arial Narrow" w:hAnsi="Arial Narrow"/>
          <w:sz w:val="22"/>
          <w:szCs w:val="22"/>
          <w:lang w:val="pl-PL"/>
        </w:rPr>
      </w:pPr>
      <w:r w:rsidRPr="00EE0198">
        <w:rPr>
          <w:rFonts w:ascii="Arial Narrow" w:hAnsi="Arial Narrow"/>
          <w:sz w:val="22"/>
          <w:szCs w:val="22"/>
        </w:rPr>
        <w:t>Oznakowanie</w:t>
      </w:r>
    </w:p>
    <w:p w:rsidR="005E6CB3" w:rsidRPr="00EE0198" w:rsidRDefault="005E6CB3" w:rsidP="000E6F19">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Wszystkie znaki oraz napisy informacyjne lub ostrzegawcze powinny być wykonane i przymocowane w sposób trwały.</w:t>
      </w:r>
    </w:p>
    <w:p w:rsidR="005E6CB3" w:rsidRPr="00EE0198" w:rsidRDefault="005E6CB3" w:rsidP="000E6F19">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Wszelkie napisy na transformatorze i w dokumentacji technicznej powinny być w języku polskim.</w:t>
      </w:r>
    </w:p>
    <w:p w:rsidR="005E6CB3" w:rsidRPr="005C0353" w:rsidRDefault="005C0353" w:rsidP="000E6F19">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Tabliczka znamionowa powinna być zamocowana do radiatora oraz zawierać dane techniczne wymagane normą, pomierzone straty stanu jałowego i straty obciążeniowe, rodzaj zastosowanego oleju, a także pełną nazwę i adres fabryki wytwórcy transformatora.</w:t>
      </w:r>
    </w:p>
    <w:p w:rsidR="00B26133" w:rsidRPr="00EE0198" w:rsidRDefault="00B26133" w:rsidP="000E6F19">
      <w:pPr>
        <w:pStyle w:val="Nagwek2"/>
        <w:spacing w:before="0" w:after="0"/>
        <w:ind w:left="425" w:hanging="425"/>
        <w:jc w:val="both"/>
        <w:rPr>
          <w:rFonts w:ascii="Arial Narrow" w:hAnsi="Arial Narrow"/>
          <w:b w:val="0"/>
          <w:i w:val="0"/>
          <w:color w:val="auto"/>
          <w:sz w:val="22"/>
          <w:szCs w:val="22"/>
        </w:rPr>
      </w:pPr>
      <w:r w:rsidRPr="00EE0198">
        <w:rPr>
          <w:rFonts w:ascii="Arial Narrow" w:hAnsi="Arial Narrow"/>
          <w:b w:val="0"/>
          <w:i w:val="0"/>
          <w:color w:val="auto"/>
          <w:sz w:val="22"/>
          <w:szCs w:val="22"/>
        </w:rPr>
        <w:t>Niezależnie od tabliczki znamionowej numer fabryczny transformatora ma być:</w:t>
      </w:r>
    </w:p>
    <w:p w:rsidR="00B26133" w:rsidRPr="00EE0198" w:rsidRDefault="00B26133" w:rsidP="000E6F19">
      <w:pPr>
        <w:pStyle w:val="Nagwek3"/>
        <w:keepNext w:val="0"/>
        <w:numPr>
          <w:ilvl w:val="1"/>
          <w:numId w:val="8"/>
        </w:numPr>
        <w:spacing w:before="0" w:after="0"/>
        <w:ind w:left="851"/>
        <w:jc w:val="both"/>
        <w:rPr>
          <w:rFonts w:ascii="Arial Narrow" w:hAnsi="Arial Narrow" w:cs="Calibri"/>
          <w:b w:val="0"/>
          <w:color w:val="auto"/>
          <w:sz w:val="22"/>
          <w:szCs w:val="22"/>
        </w:rPr>
      </w:pPr>
      <w:r w:rsidRPr="00EE0198">
        <w:rPr>
          <w:rFonts w:ascii="Arial Narrow" w:hAnsi="Arial Narrow" w:cs="Calibri"/>
          <w:b w:val="0"/>
          <w:color w:val="auto"/>
          <w:sz w:val="22"/>
          <w:szCs w:val="22"/>
        </w:rPr>
        <w:t>wytłoczony na pokrywie transformatora,</w:t>
      </w:r>
    </w:p>
    <w:p w:rsidR="00B26133" w:rsidRPr="00EE0198" w:rsidRDefault="00B26133" w:rsidP="000E6F19">
      <w:pPr>
        <w:pStyle w:val="Nagwek3"/>
        <w:keepNext w:val="0"/>
        <w:numPr>
          <w:ilvl w:val="1"/>
          <w:numId w:val="8"/>
        </w:numPr>
        <w:spacing w:before="0"/>
        <w:ind w:left="850" w:hanging="357"/>
        <w:jc w:val="both"/>
        <w:rPr>
          <w:rFonts w:ascii="Arial Narrow" w:hAnsi="Arial Narrow" w:cs="Calibri"/>
          <w:b w:val="0"/>
          <w:color w:val="auto"/>
          <w:sz w:val="22"/>
          <w:szCs w:val="22"/>
        </w:rPr>
      </w:pPr>
      <w:r w:rsidRPr="00EE0198">
        <w:rPr>
          <w:rFonts w:ascii="Arial Narrow" w:hAnsi="Arial Narrow" w:cs="Calibri"/>
          <w:b w:val="0"/>
          <w:color w:val="auto"/>
          <w:sz w:val="22"/>
          <w:szCs w:val="22"/>
        </w:rPr>
        <w:t>umieszczony na transformatorze, którego lokalizację i wielkość należy uzgodnić z ENERGA</w:t>
      </w:r>
      <w:r w:rsidRPr="00EE0198">
        <w:rPr>
          <w:rFonts w:ascii="Arial Narrow" w:hAnsi="Arial Narrow" w:cs="Calibri"/>
          <w:b w:val="0"/>
          <w:color w:val="auto"/>
          <w:sz w:val="22"/>
          <w:szCs w:val="22"/>
        </w:rPr>
        <w:noBreakHyphen/>
        <w:t>OPERATOR SA.</w:t>
      </w:r>
    </w:p>
    <w:p w:rsidR="00B26133" w:rsidRPr="00EE0198" w:rsidRDefault="00B26133" w:rsidP="000E6F19">
      <w:pPr>
        <w:pStyle w:val="Nagwek2"/>
        <w:spacing w:before="0"/>
        <w:ind w:left="426" w:hanging="426"/>
        <w:jc w:val="both"/>
        <w:rPr>
          <w:rFonts w:ascii="Arial Narrow" w:hAnsi="Arial Narrow"/>
          <w:b w:val="0"/>
          <w:i w:val="0"/>
          <w:color w:val="auto"/>
          <w:sz w:val="22"/>
          <w:szCs w:val="22"/>
        </w:rPr>
      </w:pPr>
      <w:r w:rsidRPr="00EE0198">
        <w:rPr>
          <w:rFonts w:ascii="Arial Narrow" w:hAnsi="Arial Narrow"/>
          <w:b w:val="0"/>
          <w:i w:val="0"/>
          <w:color w:val="auto"/>
          <w:sz w:val="22"/>
          <w:szCs w:val="22"/>
        </w:rPr>
        <w:t>Na pokrywie ma być umieszczone oznakowanie zacisków DN, GN i N, zgodne z dokumentacją transformatora. Ponadto przy zacisku uziemiającym powinien znajdować się symbol uziemienia lub napis „zacisk uziemiający”.</w:t>
      </w:r>
    </w:p>
    <w:p w:rsidR="00B26133" w:rsidRPr="003B7367" w:rsidRDefault="00B26133" w:rsidP="000E6F19">
      <w:pPr>
        <w:pStyle w:val="Nagwek1"/>
        <w:jc w:val="both"/>
        <w:rPr>
          <w:rFonts w:ascii="Arial Narrow" w:hAnsi="Arial Narrow"/>
          <w:sz w:val="22"/>
          <w:szCs w:val="22"/>
        </w:rPr>
      </w:pPr>
      <w:r w:rsidRPr="003B7367">
        <w:rPr>
          <w:rFonts w:ascii="Arial Narrow" w:hAnsi="Arial Narrow"/>
          <w:sz w:val="22"/>
          <w:szCs w:val="22"/>
        </w:rPr>
        <w:t>Wymagana dokumentacja techniczna</w:t>
      </w:r>
    </w:p>
    <w:p w:rsidR="00B26133" w:rsidRPr="003B7367" w:rsidRDefault="00B26133" w:rsidP="000E6F19">
      <w:pPr>
        <w:pStyle w:val="Nagwek3"/>
        <w:keepNext w:val="0"/>
        <w:spacing w:before="0"/>
        <w:ind w:left="567" w:hanging="567"/>
        <w:jc w:val="both"/>
        <w:rPr>
          <w:rFonts w:ascii="Arial Narrow" w:hAnsi="Arial Narrow"/>
          <w:b w:val="0"/>
          <w:color w:val="auto"/>
          <w:sz w:val="22"/>
          <w:szCs w:val="22"/>
        </w:rPr>
      </w:pPr>
      <w:r w:rsidRPr="003B7367">
        <w:rPr>
          <w:rFonts w:ascii="Arial Narrow" w:hAnsi="Arial Narrow"/>
          <w:b w:val="0"/>
          <w:color w:val="auto"/>
          <w:sz w:val="22"/>
          <w:szCs w:val="22"/>
        </w:rPr>
        <w:t xml:space="preserve">Wszelka dokumentacja techniczna ma być napisana w języku polskim lub przetłumaczona na język polski. </w:t>
      </w:r>
    </w:p>
    <w:p w:rsidR="00B26133" w:rsidRPr="003B7367" w:rsidRDefault="00636091" w:rsidP="000E6F19">
      <w:pPr>
        <w:pStyle w:val="Nagwek3"/>
        <w:spacing w:before="0" w:after="0"/>
        <w:ind w:left="567" w:hanging="567"/>
        <w:jc w:val="both"/>
        <w:rPr>
          <w:rFonts w:ascii="Arial Narrow" w:hAnsi="Arial Narrow"/>
          <w:b w:val="0"/>
          <w:color w:val="auto"/>
          <w:sz w:val="22"/>
          <w:szCs w:val="22"/>
        </w:rPr>
      </w:pPr>
      <w:r w:rsidRPr="003B7367">
        <w:rPr>
          <w:rFonts w:ascii="Arial Narrow" w:hAnsi="Arial Narrow"/>
          <w:b w:val="0"/>
          <w:color w:val="auto"/>
          <w:sz w:val="22"/>
          <w:szCs w:val="22"/>
          <w:lang w:val="pl-PL"/>
        </w:rPr>
        <w:t>Na etapie poszczególnych odbiorów (szczegółowo określonych w umowie) w</w:t>
      </w:r>
      <w:r w:rsidR="00B26133" w:rsidRPr="003B7367">
        <w:rPr>
          <w:rFonts w:ascii="Arial Narrow" w:hAnsi="Arial Narrow"/>
          <w:b w:val="0"/>
          <w:color w:val="auto"/>
          <w:sz w:val="22"/>
          <w:szCs w:val="22"/>
        </w:rPr>
        <w:t>ymagane</w:t>
      </w:r>
      <w:r w:rsidRPr="003B7367">
        <w:rPr>
          <w:rFonts w:ascii="Arial Narrow" w:hAnsi="Arial Narrow"/>
          <w:b w:val="0"/>
          <w:color w:val="auto"/>
          <w:sz w:val="22"/>
          <w:szCs w:val="22"/>
          <w:lang w:val="pl-PL"/>
        </w:rPr>
        <w:t xml:space="preserve"> są następujące</w:t>
      </w:r>
      <w:r w:rsidR="00B26133" w:rsidRPr="003B7367">
        <w:rPr>
          <w:rFonts w:ascii="Arial Narrow" w:hAnsi="Arial Narrow"/>
          <w:b w:val="0"/>
          <w:color w:val="auto"/>
          <w:sz w:val="22"/>
          <w:szCs w:val="22"/>
        </w:rPr>
        <w:t xml:space="preserve"> dokumenty potwierdzające spełnienie wymagań technicznych:</w:t>
      </w:r>
    </w:p>
    <w:p w:rsidR="00AB4A69" w:rsidRPr="003B7367" w:rsidRDefault="00B26133" w:rsidP="000E6F19">
      <w:pPr>
        <w:pStyle w:val="Nagwek3"/>
        <w:keepNext w:val="0"/>
        <w:numPr>
          <w:ilvl w:val="0"/>
          <w:numId w:val="10"/>
        </w:numPr>
        <w:spacing w:before="0" w:after="0"/>
        <w:ind w:left="993"/>
        <w:jc w:val="both"/>
        <w:rPr>
          <w:rFonts w:ascii="Arial Narrow" w:hAnsi="Arial Narrow" w:cs="Calibri"/>
          <w:b w:val="0"/>
          <w:color w:val="auto"/>
          <w:sz w:val="22"/>
          <w:szCs w:val="22"/>
        </w:rPr>
      </w:pPr>
      <w:r w:rsidRPr="003B7367">
        <w:rPr>
          <w:rFonts w:ascii="Arial Narrow" w:hAnsi="Arial Narrow"/>
          <w:b w:val="0"/>
          <w:color w:val="auto"/>
          <w:sz w:val="22"/>
          <w:szCs w:val="22"/>
        </w:rPr>
        <w:t xml:space="preserve">Dokumentacja Techniczno-Ruchowa (DTR), dostarczona dla każdego transformatora, w wersji papierowej </w:t>
      </w:r>
      <w:r w:rsidR="00F0557E" w:rsidRPr="003B7367">
        <w:rPr>
          <w:rFonts w:ascii="Arial Narrow" w:hAnsi="Arial Narrow"/>
          <w:b w:val="0"/>
          <w:color w:val="auto"/>
          <w:sz w:val="22"/>
          <w:szCs w:val="22"/>
          <w:lang w:val="pl-PL"/>
        </w:rPr>
        <w:br/>
      </w:r>
      <w:r w:rsidRPr="003B7367">
        <w:rPr>
          <w:rFonts w:ascii="Arial Narrow" w:hAnsi="Arial Narrow"/>
          <w:b w:val="0"/>
          <w:color w:val="auto"/>
          <w:sz w:val="22"/>
          <w:szCs w:val="22"/>
        </w:rPr>
        <w:t>i na płycie CD/DVD jako pliki w wersji pdf, zawierająca szczegółowy opis użytkowania</w:t>
      </w:r>
      <w:r w:rsidR="00EE0198"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i eksploatacji wszystkich dostarczonych urządzeń wraz z opisem konstrukcji każdego elementu oraz zalecaną metodykę obsługi, prób i czynności eksploatacyjnych</w:t>
      </w:r>
      <w:r w:rsidR="00AB4A69" w:rsidRPr="003B7367">
        <w:rPr>
          <w:rFonts w:ascii="Arial Narrow" w:hAnsi="Arial Narrow"/>
          <w:b w:val="0"/>
          <w:color w:val="auto"/>
          <w:sz w:val="22"/>
          <w:szCs w:val="22"/>
          <w:lang w:val="pl-PL"/>
        </w:rPr>
        <w:t>,</w:t>
      </w:r>
    </w:p>
    <w:p w:rsidR="00B26133" w:rsidRPr="003B7367" w:rsidRDefault="00AB4A69" w:rsidP="000E6F19">
      <w:pPr>
        <w:pStyle w:val="Nagwek3"/>
        <w:keepNext w:val="0"/>
        <w:numPr>
          <w:ilvl w:val="0"/>
          <w:numId w:val="10"/>
        </w:numPr>
        <w:spacing w:before="0" w:after="0"/>
        <w:ind w:left="993"/>
        <w:jc w:val="both"/>
        <w:rPr>
          <w:rFonts w:ascii="Arial Narrow" w:hAnsi="Arial Narrow" w:cs="Calibri"/>
          <w:b w:val="0"/>
          <w:color w:val="auto"/>
          <w:sz w:val="22"/>
          <w:szCs w:val="22"/>
        </w:rPr>
      </w:pPr>
      <w:r w:rsidRPr="003B7367">
        <w:rPr>
          <w:rFonts w:ascii="Arial Narrow" w:hAnsi="Arial Narrow"/>
          <w:b w:val="0"/>
          <w:color w:val="auto"/>
          <w:sz w:val="22"/>
          <w:szCs w:val="22"/>
          <w:lang w:val="pl-PL"/>
        </w:rPr>
        <w:t>Karta Charakterystyki zastosowanego oleju elektroizolacyjnego,</w:t>
      </w:r>
    </w:p>
    <w:p w:rsidR="00B26133" w:rsidRPr="003B7367" w:rsidRDefault="00B26133" w:rsidP="000E6F19">
      <w:pPr>
        <w:pStyle w:val="Nagwek3"/>
        <w:keepNext w:val="0"/>
        <w:numPr>
          <w:ilvl w:val="0"/>
          <w:numId w:val="10"/>
        </w:numPr>
        <w:spacing w:before="0" w:after="0"/>
        <w:ind w:left="993"/>
        <w:jc w:val="both"/>
        <w:rPr>
          <w:rFonts w:ascii="Arial Narrow" w:hAnsi="Arial Narrow" w:cs="Calibri"/>
          <w:b w:val="0"/>
          <w:color w:val="auto"/>
          <w:sz w:val="22"/>
          <w:szCs w:val="22"/>
        </w:rPr>
      </w:pPr>
      <w:r w:rsidRPr="003B7367">
        <w:rPr>
          <w:rFonts w:ascii="Arial Narrow" w:hAnsi="Arial Narrow"/>
          <w:b w:val="0"/>
          <w:color w:val="auto"/>
          <w:sz w:val="22"/>
          <w:szCs w:val="22"/>
        </w:rPr>
        <w:t xml:space="preserve">protokoły z następujących prób wyrobu transformatora wykonanych zgodnie z normą: </w:t>
      </w:r>
      <w:r w:rsidRPr="003B7367">
        <w:rPr>
          <w:rFonts w:ascii="Arial Narrow" w:hAnsi="Arial Narrow" w:cs="Calibri"/>
          <w:b w:val="0"/>
          <w:color w:val="auto"/>
          <w:sz w:val="22"/>
          <w:szCs w:val="22"/>
        </w:rPr>
        <w:t>PN-EN 60076-1:2011</w:t>
      </w:r>
      <w:r w:rsidR="00223F97" w:rsidRPr="003B7367">
        <w:rPr>
          <w:rFonts w:ascii="Arial Narrow" w:hAnsi="Arial Narrow" w:cs="Calibri"/>
          <w:b w:val="0"/>
          <w:color w:val="auto"/>
          <w:sz w:val="22"/>
          <w:szCs w:val="22"/>
          <w:lang w:val="pl-PL"/>
        </w:rPr>
        <w:t>E</w:t>
      </w:r>
      <w:r w:rsidRPr="003B7367">
        <w:rPr>
          <w:rFonts w:ascii="Arial Narrow" w:hAnsi="Arial Narrow" w:cs="Calibri"/>
          <w:b w:val="0"/>
          <w:color w:val="auto"/>
          <w:sz w:val="22"/>
          <w:szCs w:val="22"/>
        </w:rPr>
        <w:t xml:space="preserve"> Transformatory – Wymagania ogólne</w:t>
      </w:r>
      <w:r w:rsidRPr="003B7367">
        <w:rPr>
          <w:rFonts w:ascii="Arial Narrow" w:hAnsi="Arial Narrow"/>
          <w:b w:val="0"/>
          <w:color w:val="auto"/>
          <w:sz w:val="22"/>
          <w:szCs w:val="22"/>
        </w:rPr>
        <w:t xml:space="preserve">: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auto"/>
          <w:sz w:val="22"/>
          <w:szCs w:val="22"/>
        </w:rPr>
      </w:pPr>
      <w:r w:rsidRPr="003B7367">
        <w:rPr>
          <w:rFonts w:ascii="Arial Narrow" w:hAnsi="Arial Narrow"/>
          <w:b w:val="0"/>
          <w:color w:val="auto"/>
          <w:sz w:val="22"/>
          <w:szCs w:val="22"/>
        </w:rPr>
        <w:t xml:space="preserve">pomiar rezystancji uzwojeń,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auto"/>
          <w:sz w:val="22"/>
          <w:szCs w:val="22"/>
        </w:rPr>
      </w:pPr>
      <w:r w:rsidRPr="003B7367">
        <w:rPr>
          <w:rFonts w:ascii="Arial Narrow" w:hAnsi="Arial Narrow"/>
          <w:b w:val="0"/>
          <w:color w:val="auto"/>
          <w:sz w:val="22"/>
          <w:szCs w:val="22"/>
        </w:rPr>
        <w:t xml:space="preserve">pomiar przekładni napięciowej i sprawdzenie grupy połączeń,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auto"/>
          <w:sz w:val="22"/>
          <w:szCs w:val="22"/>
        </w:rPr>
      </w:pPr>
      <w:r w:rsidRPr="003B7367">
        <w:rPr>
          <w:rFonts w:ascii="Arial Narrow" w:hAnsi="Arial Narrow"/>
          <w:b w:val="0"/>
          <w:color w:val="auto"/>
          <w:sz w:val="22"/>
          <w:szCs w:val="22"/>
        </w:rPr>
        <w:t xml:space="preserve">pomiar napięcia zwarcia i strat obciążeniowych,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0D0D0D" w:themeColor="text1" w:themeTint="F2"/>
          <w:sz w:val="22"/>
          <w:szCs w:val="22"/>
        </w:rPr>
      </w:pPr>
      <w:r w:rsidRPr="003B7367">
        <w:rPr>
          <w:rFonts w:ascii="Arial Narrow" w:hAnsi="Arial Narrow"/>
          <w:b w:val="0"/>
          <w:color w:val="auto"/>
          <w:sz w:val="22"/>
          <w:szCs w:val="22"/>
        </w:rPr>
        <w:t xml:space="preserve">pomiar strat i </w:t>
      </w:r>
      <w:r w:rsidRPr="003B7367">
        <w:rPr>
          <w:rFonts w:ascii="Arial Narrow" w:hAnsi="Arial Narrow"/>
          <w:b w:val="0"/>
          <w:color w:val="0D0D0D" w:themeColor="text1" w:themeTint="F2"/>
          <w:sz w:val="22"/>
          <w:szCs w:val="22"/>
        </w:rPr>
        <w:t xml:space="preserve">prądu stanu jałowego,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0D0D0D" w:themeColor="text1" w:themeTint="F2"/>
          <w:sz w:val="22"/>
          <w:szCs w:val="22"/>
        </w:rPr>
      </w:pPr>
      <w:r w:rsidRPr="003B7367">
        <w:rPr>
          <w:rFonts w:ascii="Arial Narrow" w:hAnsi="Arial Narrow"/>
          <w:b w:val="0"/>
          <w:color w:val="0D0D0D" w:themeColor="text1" w:themeTint="F2"/>
          <w:sz w:val="22"/>
          <w:szCs w:val="22"/>
        </w:rPr>
        <w:t>próby napięciem udarowym</w:t>
      </w:r>
      <w:r w:rsidR="00BD423D" w:rsidRPr="003B7367">
        <w:rPr>
          <w:rFonts w:ascii="Arial Narrow" w:hAnsi="Arial Narrow"/>
          <w:b w:val="0"/>
          <w:color w:val="0D0D0D" w:themeColor="text1" w:themeTint="F2"/>
          <w:sz w:val="22"/>
          <w:szCs w:val="22"/>
          <w:lang w:val="pl-PL"/>
        </w:rPr>
        <w:t xml:space="preserve"> piorunowym</w:t>
      </w:r>
      <w:r w:rsidRPr="003B7367">
        <w:rPr>
          <w:rFonts w:ascii="Arial Narrow" w:hAnsi="Arial Narrow"/>
          <w:b w:val="0"/>
          <w:color w:val="0D0D0D" w:themeColor="text1" w:themeTint="F2"/>
          <w:sz w:val="22"/>
          <w:szCs w:val="22"/>
        </w:rPr>
        <w:t xml:space="preserve">,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0D0D0D" w:themeColor="text1" w:themeTint="F2"/>
          <w:sz w:val="22"/>
          <w:szCs w:val="22"/>
        </w:rPr>
      </w:pPr>
      <w:r w:rsidRPr="003B7367">
        <w:rPr>
          <w:rFonts w:ascii="Arial Narrow" w:hAnsi="Arial Narrow"/>
          <w:b w:val="0"/>
          <w:color w:val="0D0D0D" w:themeColor="text1" w:themeTint="F2"/>
          <w:sz w:val="22"/>
          <w:szCs w:val="22"/>
        </w:rPr>
        <w:t xml:space="preserve">próba wytrzymałości elektrycznej – próby wyrobu,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cs="Calibri"/>
          <w:b w:val="0"/>
          <w:color w:val="0D0D0D" w:themeColor="text1" w:themeTint="F2"/>
          <w:sz w:val="22"/>
          <w:szCs w:val="22"/>
        </w:rPr>
      </w:pPr>
      <w:r w:rsidRPr="003B7367">
        <w:rPr>
          <w:rFonts w:ascii="Arial Narrow" w:hAnsi="Arial Narrow"/>
          <w:b w:val="0"/>
          <w:color w:val="0D0D0D" w:themeColor="text1" w:themeTint="F2"/>
          <w:sz w:val="22"/>
          <w:szCs w:val="22"/>
        </w:rPr>
        <w:t xml:space="preserve">próba podobciążeniowego przełącznika zaczepów, </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protokół z nadciśnieniowej próby szczelności kadzi zmontowanego i zalanego olejem transformatora,</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protokoły z następujących prób specjalnych transformatora wykonanych zgodnie z normą: PN-EN 60076-1:2011</w:t>
      </w:r>
      <w:r w:rsidR="00223F97" w:rsidRPr="003B7367">
        <w:rPr>
          <w:rFonts w:ascii="Arial Narrow" w:hAnsi="Arial Narrow"/>
          <w:b w:val="0"/>
          <w:color w:val="auto"/>
          <w:sz w:val="22"/>
          <w:szCs w:val="22"/>
          <w:lang w:val="pl-PL"/>
        </w:rPr>
        <w:t>E</w:t>
      </w:r>
      <w:r w:rsidRPr="003B7367">
        <w:rPr>
          <w:rFonts w:ascii="Arial Narrow" w:hAnsi="Arial Narrow"/>
          <w:b w:val="0"/>
          <w:color w:val="auto"/>
          <w:sz w:val="22"/>
          <w:szCs w:val="22"/>
        </w:rPr>
        <w:t xml:space="preserve"> Transformatory – Wymagania ogólne:</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próby wytrzymałości elektrycznej – próby specjalne,</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określenie pojemności doziemnej uzwojeń oraz pojemności między uzwojeniami,</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wyznaczenie charakterystyki przenoszenia przepięć,</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pomiar impedancji kolejności zerowej,</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 xml:space="preserve">wyznaczenie poziomu </w:t>
      </w:r>
      <w:r w:rsidR="00BD423D" w:rsidRPr="003B7367">
        <w:rPr>
          <w:rFonts w:ascii="Arial Narrow" w:hAnsi="Arial Narrow"/>
          <w:b w:val="0"/>
          <w:color w:val="auto"/>
          <w:sz w:val="22"/>
          <w:szCs w:val="22"/>
        </w:rPr>
        <w:t>ciśnienia akustycznego</w:t>
      </w:r>
      <w:r w:rsidRPr="003B7367">
        <w:rPr>
          <w:rFonts w:ascii="Arial Narrow" w:hAnsi="Arial Narrow"/>
          <w:b w:val="0"/>
          <w:color w:val="auto"/>
          <w:sz w:val="22"/>
          <w:szCs w:val="22"/>
        </w:rPr>
        <w:t>,</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pomiar harmonicznych prądu stanu jałowego,</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pomiar mocy pobieranej przez silniki wentylatorów i pomp olejowych.</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 xml:space="preserve">protokoły z prób wyrobu z niżej wymienionymi normami: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podobciążeniowego przełącznika zaczepów - PN-EN 60214-1:</w:t>
      </w:r>
      <w:r w:rsidR="00223F97" w:rsidRPr="003B7367">
        <w:rPr>
          <w:rFonts w:ascii="Arial Narrow" w:hAnsi="Arial Narrow"/>
          <w:b w:val="0"/>
          <w:color w:val="auto"/>
          <w:sz w:val="22"/>
          <w:szCs w:val="22"/>
          <w:lang w:val="pl-PL"/>
        </w:rPr>
        <w:t>2014-12E</w:t>
      </w:r>
      <w:r w:rsidR="00223F97" w:rsidRPr="003B7367">
        <w:rPr>
          <w:rFonts w:ascii="Arial Narrow" w:hAnsi="Arial Narrow"/>
          <w:b w:val="0"/>
          <w:color w:val="auto"/>
          <w:sz w:val="22"/>
          <w:szCs w:val="22"/>
        </w:rPr>
        <w:t xml:space="preserve"> </w:t>
      </w:r>
      <w:r w:rsidRPr="003B7367">
        <w:rPr>
          <w:rFonts w:ascii="Arial Narrow" w:hAnsi="Arial Narrow"/>
          <w:b w:val="0"/>
          <w:color w:val="auto"/>
          <w:sz w:val="22"/>
          <w:szCs w:val="22"/>
        </w:rPr>
        <w:t>Przełączniki zaczepów - Część 1: Wymagania i metody badań,</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izolatorów przepustowych GN i DN - PN-EN 60137:2010</w:t>
      </w:r>
      <w:r w:rsidR="00223F97" w:rsidRPr="003B7367">
        <w:rPr>
          <w:rFonts w:ascii="Arial Narrow" w:hAnsi="Arial Narrow"/>
          <w:b w:val="0"/>
          <w:color w:val="auto"/>
          <w:sz w:val="22"/>
          <w:szCs w:val="22"/>
          <w:lang w:val="pl-PL"/>
        </w:rPr>
        <w:t>P</w:t>
      </w:r>
      <w:r w:rsidRPr="003B7367">
        <w:rPr>
          <w:rFonts w:ascii="Arial Narrow" w:hAnsi="Arial Narrow"/>
          <w:b w:val="0"/>
          <w:color w:val="auto"/>
          <w:sz w:val="22"/>
          <w:szCs w:val="22"/>
        </w:rPr>
        <w:t xml:space="preserve"> Izolatory przepustowe na napięcia przemienne powyżej 1 000 V,</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protokoły pomiaru mineralnego oleju elektroizolacyjnego (napięcia przebicia, DGA, tg delta, rezystywność, zawartość wody),</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deklaracje zgodności z niżej wymienionymi normami:</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pacing w:val="-2"/>
          <w:sz w:val="22"/>
          <w:szCs w:val="22"/>
        </w:rPr>
      </w:pPr>
      <w:r w:rsidRPr="003B7367">
        <w:rPr>
          <w:rFonts w:ascii="Arial Narrow" w:hAnsi="Arial Narrow"/>
          <w:b w:val="0"/>
          <w:color w:val="auto"/>
          <w:spacing w:val="-2"/>
          <w:sz w:val="22"/>
          <w:szCs w:val="22"/>
        </w:rPr>
        <w:t>przekaźników gazowo-przepływowych - PN-EN 50216-2:2004</w:t>
      </w:r>
      <w:r w:rsidR="00223F97" w:rsidRPr="003B7367">
        <w:rPr>
          <w:rFonts w:ascii="Arial Narrow" w:hAnsi="Arial Narrow"/>
          <w:b w:val="0"/>
          <w:color w:val="auto"/>
          <w:spacing w:val="-2"/>
          <w:sz w:val="22"/>
          <w:szCs w:val="22"/>
          <w:lang w:val="pl-PL"/>
        </w:rPr>
        <w:t>P</w:t>
      </w:r>
      <w:r w:rsidRPr="003B7367">
        <w:rPr>
          <w:rFonts w:ascii="Arial Narrow" w:hAnsi="Arial Narrow"/>
          <w:b w:val="0"/>
          <w:color w:val="auto"/>
          <w:spacing w:val="-2"/>
          <w:sz w:val="22"/>
          <w:szCs w:val="22"/>
        </w:rPr>
        <w:t xml:space="preserve"> Wyposażenie transformatorów</w:t>
      </w:r>
      <w:r w:rsidR="005C0353" w:rsidRPr="003B7367">
        <w:rPr>
          <w:rFonts w:ascii="Arial Narrow" w:hAnsi="Arial Narrow"/>
          <w:b w:val="0"/>
          <w:color w:val="auto"/>
          <w:spacing w:val="-2"/>
          <w:sz w:val="22"/>
          <w:szCs w:val="22"/>
          <w:lang w:val="pl-PL"/>
        </w:rPr>
        <w:t xml:space="preserve"> </w:t>
      </w:r>
      <w:r w:rsidRPr="003B7367">
        <w:rPr>
          <w:rFonts w:ascii="Arial Narrow" w:hAnsi="Arial Narrow"/>
          <w:b w:val="0"/>
          <w:color w:val="auto"/>
          <w:spacing w:val="-2"/>
          <w:sz w:val="22"/>
          <w:szCs w:val="22"/>
        </w:rPr>
        <w:t>i dławików - Część 2: Przekaźnik gazowo-przepływowy do transformatorów i dławików olejowych z konserwatorem</w:t>
      </w:r>
      <w:r w:rsidR="005C0353" w:rsidRPr="003B7367">
        <w:rPr>
          <w:rFonts w:ascii="Arial Narrow" w:hAnsi="Arial Narrow"/>
          <w:b w:val="0"/>
          <w:color w:val="auto"/>
          <w:spacing w:val="-2"/>
          <w:sz w:val="22"/>
          <w:szCs w:val="22"/>
          <w:lang w:val="pl-PL"/>
        </w:rPr>
        <w:t>,</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czujników temperatury - PN-EN 50216-11:2009</w:t>
      </w:r>
      <w:r w:rsidR="00223F97" w:rsidRPr="003B7367">
        <w:rPr>
          <w:rFonts w:ascii="Arial Narrow" w:hAnsi="Arial Narrow"/>
          <w:b w:val="0"/>
          <w:color w:val="auto"/>
          <w:sz w:val="22"/>
          <w:szCs w:val="22"/>
          <w:lang w:val="pl-PL"/>
        </w:rPr>
        <w:t>E</w:t>
      </w:r>
      <w:r w:rsidRPr="003B7367">
        <w:rPr>
          <w:rFonts w:ascii="Arial Narrow" w:hAnsi="Arial Narrow"/>
          <w:b w:val="0"/>
          <w:color w:val="auto"/>
          <w:sz w:val="22"/>
          <w:szCs w:val="22"/>
        </w:rPr>
        <w:t xml:space="preserve"> Wyposażenie transformatorów i dławików - Część 11: Czujniki temperatury oleju i uzwojeń</w:t>
      </w:r>
      <w:r w:rsidRPr="003B7367">
        <w:rPr>
          <w:rStyle w:val="oryg1"/>
          <w:rFonts w:ascii="Arial Narrow" w:hAnsi="Arial Narrow" w:cs="Calibri"/>
          <w:bCs/>
          <w:iCs w:val="0"/>
          <w:color w:val="auto"/>
          <w:sz w:val="22"/>
          <w:szCs w:val="22"/>
        </w:rPr>
        <w:t>,</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lastRenderedPageBreak/>
        <w:t>wentylatorów - PN-EN 50216-12:2011</w:t>
      </w:r>
      <w:r w:rsidR="00223F97" w:rsidRPr="003B7367">
        <w:rPr>
          <w:rFonts w:ascii="Arial Narrow" w:hAnsi="Arial Narrow"/>
          <w:b w:val="0"/>
          <w:color w:val="auto"/>
          <w:sz w:val="22"/>
          <w:szCs w:val="22"/>
          <w:lang w:val="pl-PL"/>
        </w:rPr>
        <w:t>E</w:t>
      </w:r>
      <w:r w:rsidRPr="003B7367">
        <w:rPr>
          <w:rFonts w:ascii="Arial Narrow" w:hAnsi="Arial Narrow"/>
          <w:b w:val="0"/>
          <w:color w:val="auto"/>
          <w:sz w:val="22"/>
          <w:szCs w:val="22"/>
        </w:rPr>
        <w:t xml:space="preserve"> Wyposażenie transformatorów i dławików - Część 12: Wentylatory</w:t>
      </w:r>
      <w:r w:rsidRPr="003B7367">
        <w:rPr>
          <w:rStyle w:val="oryg1"/>
          <w:rFonts w:ascii="Arial Narrow" w:hAnsi="Arial Narrow" w:cs="Calibri"/>
          <w:b/>
          <w:color w:val="auto"/>
          <w:sz w:val="22"/>
          <w:szCs w:val="22"/>
        </w:rPr>
        <w:t>,</w:t>
      </w:r>
      <w:r w:rsidRPr="003B7367">
        <w:rPr>
          <w:rFonts w:ascii="Arial Narrow" w:hAnsi="Arial Narrow"/>
          <w:b w:val="0"/>
          <w:color w:val="auto"/>
          <w:sz w:val="22"/>
          <w:szCs w:val="22"/>
        </w:rPr>
        <w:t xml:space="preserve"> o ile występują,</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radiatorów - PN-EN 50216-6:2004</w:t>
      </w:r>
      <w:r w:rsidR="00223F97" w:rsidRPr="003B7367">
        <w:rPr>
          <w:rFonts w:ascii="Arial Narrow" w:hAnsi="Arial Narrow"/>
          <w:b w:val="0"/>
          <w:color w:val="auto"/>
          <w:sz w:val="22"/>
          <w:szCs w:val="22"/>
          <w:lang w:val="pl-PL"/>
        </w:rPr>
        <w:t>P</w:t>
      </w:r>
      <w:r w:rsidRPr="003B7367">
        <w:rPr>
          <w:rFonts w:ascii="Arial Narrow" w:hAnsi="Arial Narrow"/>
          <w:b w:val="0"/>
          <w:color w:val="auto"/>
          <w:sz w:val="22"/>
          <w:szCs w:val="22"/>
        </w:rPr>
        <w:t xml:space="preserve"> Wyposażenie transformatorów i dławików – Część 6: Urządzenia chłodzące - Odejmowalne radiatory transformatorów olejowych.</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 xml:space="preserve">protokoły z wykonania następujących wzorcowych badań diagnostycznych, tzw. odcisk palca (finger print): </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pomiar prądu magnesującego przy napięciu 230 V,</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oscylogram wzorcowych rozkładów odpowiedzi częstotliwościowej transformatora, wykonany dla każdego uzwojenia GN i DN analizatorem częstotliwościowym w zakresie (peak-to-peak) metodą Sweep Frequency Response Analysis (SFRA),</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ocena zawilgocenia izolacji papierowo-olejowej metodą łączoną: pomiaru napięcia powrotnego (RVM - Recovery Voltage Method) i prądów polaryzacji i depolaryzacji elektrycznej (PDC </w:t>
      </w:r>
      <w:r w:rsidRPr="003B7367">
        <w:rPr>
          <w:rFonts w:ascii="Arial Narrow" w:hAnsi="Arial Narrow"/>
          <w:b w:val="0"/>
          <w:color w:val="auto"/>
          <w:sz w:val="22"/>
          <w:szCs w:val="22"/>
        </w:rPr>
        <w:noBreakHyphen/>
        <w:t> Polarization and Depolarization Current),</w:t>
      </w:r>
    </w:p>
    <w:p w:rsidR="00B26133" w:rsidRPr="003B7367" w:rsidRDefault="00B26133" w:rsidP="00FF40A4">
      <w:pPr>
        <w:pStyle w:val="Nagwek3"/>
        <w:keepNext w:val="0"/>
        <w:numPr>
          <w:ilvl w:val="0"/>
          <w:numId w:val="9"/>
        </w:numPr>
        <w:spacing w:before="0" w:after="0"/>
        <w:ind w:left="1305" w:hanging="284"/>
        <w:jc w:val="both"/>
        <w:rPr>
          <w:rFonts w:ascii="Arial Narrow" w:hAnsi="Arial Narrow"/>
          <w:b w:val="0"/>
          <w:color w:val="auto"/>
          <w:sz w:val="22"/>
          <w:szCs w:val="22"/>
        </w:rPr>
      </w:pPr>
      <w:r w:rsidRPr="003B7367">
        <w:rPr>
          <w:rFonts w:ascii="Arial Narrow" w:hAnsi="Arial Narrow"/>
          <w:b w:val="0"/>
          <w:color w:val="auto"/>
          <w:sz w:val="22"/>
          <w:szCs w:val="22"/>
        </w:rPr>
        <w:t>pomiar wyładowań niezupełnych metodą elektryczną zgodnie z </w:t>
      </w:r>
      <w:hyperlink r:id="rId10" w:history="1">
        <w:r w:rsidRPr="003B7367">
          <w:rPr>
            <w:rFonts w:ascii="Arial Narrow" w:hAnsi="Arial Narrow"/>
            <w:b w:val="0"/>
            <w:color w:val="auto"/>
            <w:sz w:val="22"/>
            <w:szCs w:val="22"/>
          </w:rPr>
          <w:t>PN</w:t>
        </w:r>
        <w:r w:rsidRPr="003B7367">
          <w:rPr>
            <w:rFonts w:ascii="Arial Narrow" w:hAnsi="Arial Narrow"/>
            <w:b w:val="0"/>
            <w:color w:val="auto"/>
            <w:sz w:val="22"/>
            <w:szCs w:val="22"/>
          </w:rPr>
          <w:noBreakHyphen/>
          <w:t>EN 60270:2003</w:t>
        </w:r>
      </w:hyperlink>
      <w:r w:rsidR="00FF40A4" w:rsidRPr="003B7367">
        <w:rPr>
          <w:rFonts w:ascii="Arial Narrow" w:hAnsi="Arial Narrow"/>
          <w:b w:val="0"/>
          <w:color w:val="auto"/>
          <w:sz w:val="22"/>
          <w:szCs w:val="22"/>
          <w:lang w:val="pl-PL"/>
        </w:rPr>
        <w:t>/A1:2016-04</w:t>
      </w:r>
      <w:r w:rsidR="00EC3F8D" w:rsidRPr="003B7367">
        <w:rPr>
          <w:rFonts w:ascii="Arial Narrow" w:hAnsi="Arial Narrow"/>
          <w:b w:val="0"/>
          <w:color w:val="auto"/>
          <w:sz w:val="22"/>
          <w:szCs w:val="22"/>
          <w:lang w:val="pl-PL"/>
        </w:rPr>
        <w:t>P</w:t>
      </w:r>
      <w:r w:rsidRPr="003B7367">
        <w:rPr>
          <w:rFonts w:ascii="Arial Narrow" w:hAnsi="Arial Narrow"/>
          <w:b w:val="0"/>
          <w:color w:val="auto"/>
          <w:sz w:val="22"/>
          <w:szCs w:val="22"/>
        </w:rPr>
        <w:t xml:space="preserve"> Wysokonapięciowa technika probiercza - Pomiary wyładowań niezupełnych.</w:t>
      </w:r>
    </w:p>
    <w:p w:rsidR="00A609CB" w:rsidRPr="003B7367" w:rsidRDefault="0070726E" w:rsidP="000E6F19">
      <w:pPr>
        <w:pStyle w:val="Nagwek3"/>
        <w:keepNext w:val="0"/>
        <w:numPr>
          <w:ilvl w:val="0"/>
          <w:numId w:val="9"/>
        </w:numPr>
        <w:spacing w:before="0" w:after="0"/>
        <w:ind w:left="1305" w:hanging="284"/>
        <w:jc w:val="both"/>
        <w:rPr>
          <w:rFonts w:ascii="Arial Narrow" w:hAnsi="Arial Narrow"/>
          <w:b w:val="0"/>
          <w:color w:val="auto"/>
          <w:spacing w:val="-2"/>
          <w:sz w:val="22"/>
          <w:szCs w:val="22"/>
          <w:lang w:val="pl-PL"/>
        </w:rPr>
      </w:pPr>
      <w:r w:rsidRPr="003B7367">
        <w:rPr>
          <w:rFonts w:ascii="Arial Narrow" w:hAnsi="Arial Narrow"/>
          <w:b w:val="0"/>
          <w:color w:val="auto"/>
          <w:sz w:val="22"/>
          <w:szCs w:val="22"/>
        </w:rPr>
        <w:t>pomiar zawartości gazów rozpuszczonych w oleju elektroizolacyjnym, metodą Dissolved Gas Analysis (DGA) zgodnie z PN-EN 61181:2007</w:t>
      </w:r>
      <w:r w:rsidR="00EC3F8D" w:rsidRPr="003B7367">
        <w:rPr>
          <w:rFonts w:ascii="Arial Narrow" w:hAnsi="Arial Narrow"/>
          <w:b w:val="0"/>
          <w:color w:val="auto"/>
          <w:sz w:val="22"/>
          <w:szCs w:val="22"/>
          <w:lang w:val="pl-PL"/>
        </w:rPr>
        <w:t>/A1:2012E</w:t>
      </w:r>
      <w:r w:rsidRPr="003B7367">
        <w:rPr>
          <w:rFonts w:ascii="Arial Narrow" w:hAnsi="Arial Narrow"/>
          <w:b w:val="0"/>
          <w:color w:val="auto"/>
          <w:sz w:val="22"/>
          <w:szCs w:val="22"/>
        </w:rPr>
        <w:t xml:space="preserve"> Urządzenia elektryczne z olejem mineralnym- Zastosowania analizy gazów rozpuszczonych w oleju (DGA) przy próbach fabrycznych urządzeń elektrycznych, oznaczenie zawartości polichlorowanych bifenyli (PCB) i produktów podobnych- Część 1: Rozdzielanie i oznaczanie wybranych kongenerów PCB metodą chromatografii gazowej (GC) z zastosowaniem detek</w:t>
      </w:r>
      <w:r w:rsidR="00A53406" w:rsidRPr="003B7367">
        <w:rPr>
          <w:rFonts w:ascii="Arial Narrow" w:hAnsi="Arial Narrow"/>
          <w:b w:val="0"/>
          <w:color w:val="auto"/>
          <w:sz w:val="22"/>
          <w:szCs w:val="22"/>
        </w:rPr>
        <w:t>tora wychwytu elektronów (ECD),</w:t>
      </w:r>
      <w:r w:rsidR="00A53406"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 xml:space="preserve">a obliczenia wykonać zgodnie z PN-EN 12766-2:2011P Przetwory naftowe i oleje zużyte- Oznaczanie polichlorowanych bifenyli (PCB) i produktów podobnych- </w:t>
      </w:r>
      <w:r w:rsidRPr="003B7367">
        <w:rPr>
          <w:rFonts w:ascii="Arial Narrow" w:hAnsi="Arial Narrow"/>
          <w:b w:val="0"/>
          <w:color w:val="auto"/>
          <w:spacing w:val="-2"/>
          <w:sz w:val="22"/>
          <w:szCs w:val="22"/>
        </w:rPr>
        <w:t>Część 2: Obliczanie zawartości polichlorowanych bifenyli (PCB). Dopuszcza się oznaczenie polichlorowanych bifenyli (PCB) zgodnie z wycofaną normą PN-IEC 997: 1998P. Oznaczanie zawartości polichlorowanych pochodnych bifenylu (PCB) w olejach elektroizolacyjnych metodą chromatografii gazowej</w:t>
      </w:r>
      <w:r w:rsidR="005C0353" w:rsidRPr="003B7367">
        <w:rPr>
          <w:rFonts w:ascii="Arial Narrow" w:hAnsi="Arial Narrow"/>
          <w:b w:val="0"/>
          <w:color w:val="auto"/>
          <w:spacing w:val="-2"/>
          <w:sz w:val="22"/>
          <w:szCs w:val="22"/>
          <w:lang w:val="pl-PL"/>
        </w:rPr>
        <w:t>,</w:t>
      </w:r>
    </w:p>
    <w:p w:rsidR="00B26133" w:rsidRPr="003B7367" w:rsidRDefault="00B26133" w:rsidP="000E6F19">
      <w:pPr>
        <w:pStyle w:val="Nagwek3"/>
        <w:keepNext w:val="0"/>
        <w:numPr>
          <w:ilvl w:val="0"/>
          <w:numId w:val="9"/>
        </w:numPr>
        <w:spacing w:before="0" w:after="0"/>
        <w:ind w:left="1305" w:hanging="284"/>
        <w:jc w:val="both"/>
        <w:rPr>
          <w:rFonts w:ascii="Arial Narrow" w:hAnsi="Arial Narrow"/>
          <w:b w:val="0"/>
          <w:color w:val="auto"/>
          <w:spacing w:val="-2"/>
          <w:sz w:val="22"/>
          <w:szCs w:val="22"/>
          <w:lang w:val="pl-PL"/>
        </w:rPr>
      </w:pPr>
      <w:r w:rsidRPr="003B7367">
        <w:rPr>
          <w:rFonts w:ascii="Arial Narrow" w:hAnsi="Arial Narrow"/>
          <w:b w:val="0"/>
          <w:color w:val="auto"/>
          <w:spacing w:val="-2"/>
          <w:sz w:val="22"/>
          <w:szCs w:val="22"/>
        </w:rPr>
        <w:t>oscylogram pomiaru strat stanu jałowego i obciążeniowych w funkcji mocy w zakresie (0,1</w:t>
      </w:r>
      <w:r w:rsidRPr="003B7367">
        <w:rPr>
          <w:rFonts w:ascii="Arial Narrow" w:hAnsi="Arial Narrow"/>
          <w:b w:val="0"/>
          <w:color w:val="auto"/>
          <w:spacing w:val="-2"/>
          <w:sz w:val="22"/>
          <w:szCs w:val="22"/>
        </w:rPr>
        <w:noBreakHyphen/>
        <w:t>1,2)Pn,</w:t>
      </w:r>
    </w:p>
    <w:p w:rsidR="00223F97" w:rsidRPr="003B7367" w:rsidRDefault="00A919CA" w:rsidP="000E6F19">
      <w:pPr>
        <w:pStyle w:val="Nagwek3"/>
        <w:keepNext w:val="0"/>
        <w:numPr>
          <w:ilvl w:val="0"/>
          <w:numId w:val="10"/>
        </w:numPr>
        <w:spacing w:before="0" w:after="0"/>
        <w:ind w:left="993" w:hanging="426"/>
        <w:jc w:val="both"/>
        <w:rPr>
          <w:rFonts w:ascii="Arial Narrow" w:hAnsi="Arial Narrow"/>
          <w:b w:val="0"/>
          <w:color w:val="auto"/>
          <w:sz w:val="22"/>
          <w:szCs w:val="22"/>
        </w:rPr>
      </w:pPr>
      <w:r w:rsidRPr="003B7367">
        <w:rPr>
          <w:rFonts w:ascii="Arial Narrow" w:hAnsi="Arial Narrow"/>
          <w:b w:val="0"/>
          <w:color w:val="auto"/>
          <w:sz w:val="22"/>
          <w:szCs w:val="22"/>
        </w:rPr>
        <w:t>protokoły z pomiarów</w:t>
      </w:r>
      <w:r w:rsidR="00223F97" w:rsidRPr="003B7367">
        <w:rPr>
          <w:rFonts w:ascii="Arial Narrow" w:hAnsi="Arial Narrow"/>
          <w:b w:val="0"/>
          <w:color w:val="auto"/>
          <w:sz w:val="22"/>
          <w:szCs w:val="22"/>
        </w:rPr>
        <w:t xml:space="preserve"> systemu monitorowania temperatury (karta odbioru pozwalająca na jednoznaczną ocenę poprawności zainstalowania systemu, wg. wzorcowego dokumentu producenta systemu monito</w:t>
      </w:r>
      <w:r w:rsidRPr="003B7367">
        <w:rPr>
          <w:rFonts w:ascii="Arial Narrow" w:hAnsi="Arial Narrow"/>
          <w:b w:val="0"/>
          <w:color w:val="auto"/>
          <w:sz w:val="22"/>
          <w:szCs w:val="22"/>
        </w:rPr>
        <w:t>rowania temperatury) uzupełnian</w:t>
      </w:r>
      <w:r w:rsidRPr="003B7367">
        <w:rPr>
          <w:rFonts w:ascii="Arial Narrow" w:hAnsi="Arial Narrow"/>
          <w:b w:val="0"/>
          <w:color w:val="auto"/>
          <w:sz w:val="22"/>
          <w:szCs w:val="22"/>
          <w:lang w:val="pl-PL"/>
        </w:rPr>
        <w:t>e</w:t>
      </w:r>
      <w:r w:rsidR="00223F97" w:rsidRPr="003B7367">
        <w:rPr>
          <w:rFonts w:ascii="Arial Narrow" w:hAnsi="Arial Narrow"/>
          <w:b w:val="0"/>
          <w:color w:val="auto"/>
          <w:sz w:val="22"/>
          <w:szCs w:val="22"/>
        </w:rPr>
        <w:t xml:space="preserve"> każdorazowo przy następujących etapach:</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po instalacji światłowodów w uzwojeniach,</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po ściskaniu uzwojeń,</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po wygrzewaniu transformatora,</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po montażu światłowodu na rdzeniu,</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przed połączeniem światłowodów z przepustami,</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po połączeniu z przepustami,</w:t>
      </w:r>
    </w:p>
    <w:p w:rsidR="00223F97" w:rsidRPr="003B7367" w:rsidRDefault="00223F97"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Pr="003B7367">
        <w:rPr>
          <w:rFonts w:ascii="Arial Narrow" w:hAnsi="Arial Narrow"/>
          <w:b w:val="0"/>
          <w:color w:val="auto"/>
          <w:sz w:val="22"/>
          <w:szCs w:val="22"/>
        </w:rPr>
        <w:t>przed próbami cieplnymi,</w:t>
      </w:r>
    </w:p>
    <w:p w:rsidR="00223F97" w:rsidRPr="003B7367" w:rsidRDefault="00A919CA"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00223F97" w:rsidRPr="003B7367">
        <w:rPr>
          <w:rFonts w:ascii="Arial Narrow" w:hAnsi="Arial Narrow"/>
          <w:b w:val="0"/>
          <w:color w:val="auto"/>
          <w:sz w:val="22"/>
          <w:szCs w:val="22"/>
        </w:rPr>
        <w:t>przy odbiorze końcowym.</w:t>
      </w:r>
    </w:p>
    <w:p w:rsidR="00B26133" w:rsidRPr="003B7367" w:rsidRDefault="00B26133" w:rsidP="000E6F19">
      <w:pPr>
        <w:pStyle w:val="Nagwek3"/>
        <w:keepNext w:val="0"/>
        <w:numPr>
          <w:ilvl w:val="0"/>
          <w:numId w:val="10"/>
        </w:numPr>
        <w:spacing w:before="0" w:after="0"/>
        <w:ind w:left="993"/>
        <w:jc w:val="both"/>
        <w:rPr>
          <w:rFonts w:ascii="Arial Narrow" w:hAnsi="Arial Narrow"/>
          <w:b w:val="0"/>
          <w:color w:val="auto"/>
          <w:sz w:val="22"/>
          <w:szCs w:val="22"/>
        </w:rPr>
      </w:pPr>
      <w:r w:rsidRPr="003B7367">
        <w:rPr>
          <w:rFonts w:ascii="Arial Narrow" w:hAnsi="Arial Narrow"/>
          <w:b w:val="0"/>
          <w:color w:val="auto"/>
          <w:sz w:val="22"/>
          <w:szCs w:val="22"/>
        </w:rPr>
        <w:t>protokoły z wykonania następujących pomontażowych badań diagnostycznych po dostawie i ustawieniu na stanowisku:</w:t>
      </w:r>
    </w:p>
    <w:p w:rsidR="00B26133" w:rsidRPr="003B7367" w:rsidRDefault="00A919CA"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00B26133" w:rsidRPr="003B7367">
        <w:rPr>
          <w:rFonts w:ascii="Arial Narrow" w:hAnsi="Arial Narrow"/>
          <w:b w:val="0"/>
          <w:color w:val="auto"/>
          <w:sz w:val="22"/>
          <w:szCs w:val="22"/>
        </w:rPr>
        <w:t>pomontażowych badań zgodnie z PN-E-04700:1998+Az1:2000 Urządzenia i układy elektryczne</w:t>
      </w:r>
      <w:r w:rsidR="005C0353" w:rsidRPr="003B7367">
        <w:rPr>
          <w:rFonts w:ascii="Arial Narrow" w:hAnsi="Arial Narrow"/>
          <w:b w:val="0"/>
          <w:color w:val="auto"/>
          <w:sz w:val="22"/>
          <w:szCs w:val="22"/>
          <w:lang w:val="pl-PL"/>
        </w:rPr>
        <w:br/>
      </w:r>
      <w:r w:rsidR="00B26133" w:rsidRPr="003B7367">
        <w:rPr>
          <w:rFonts w:ascii="Arial Narrow" w:hAnsi="Arial Narrow"/>
          <w:b w:val="0"/>
          <w:color w:val="auto"/>
          <w:sz w:val="22"/>
          <w:szCs w:val="22"/>
        </w:rPr>
        <w:t>w obiektach elektroenergetycznych - Wytyczne przeprowadzania pomontażowych badań odbiorczych,</w:t>
      </w:r>
    </w:p>
    <w:p w:rsidR="00B26133" w:rsidRPr="003B7367" w:rsidRDefault="00A919CA"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00B26133" w:rsidRPr="003B7367">
        <w:rPr>
          <w:rFonts w:ascii="Arial Narrow" w:hAnsi="Arial Narrow"/>
          <w:b w:val="0"/>
          <w:color w:val="auto"/>
          <w:sz w:val="22"/>
          <w:szCs w:val="22"/>
        </w:rPr>
        <w:t>pomiar prądu magnesującego przy napięciu 230 V,</w:t>
      </w:r>
    </w:p>
    <w:p w:rsidR="00B26133" w:rsidRPr="003B7367" w:rsidRDefault="00A919CA" w:rsidP="000E6F19">
      <w:pPr>
        <w:pStyle w:val="Nagwek3"/>
        <w:keepNext w:val="0"/>
        <w:numPr>
          <w:ilvl w:val="0"/>
          <w:numId w:val="0"/>
        </w:numPr>
        <w:spacing w:before="0" w:after="0"/>
        <w:ind w:left="1305"/>
        <w:jc w:val="both"/>
        <w:rPr>
          <w:rFonts w:ascii="Arial Narrow" w:hAnsi="Arial Narrow"/>
          <w:b w:val="0"/>
          <w:color w:val="auto"/>
          <w:sz w:val="22"/>
          <w:szCs w:val="22"/>
        </w:rPr>
      </w:pPr>
      <w:r w:rsidRPr="003B7367">
        <w:rPr>
          <w:rFonts w:ascii="Arial Narrow" w:hAnsi="Arial Narrow"/>
          <w:b w:val="0"/>
          <w:color w:val="auto"/>
          <w:sz w:val="22"/>
          <w:szCs w:val="22"/>
          <w:lang w:val="pl-PL"/>
        </w:rPr>
        <w:t xml:space="preserve">- </w:t>
      </w:r>
      <w:r w:rsidR="00B26133" w:rsidRPr="003B7367">
        <w:rPr>
          <w:rFonts w:ascii="Arial Narrow" w:hAnsi="Arial Narrow"/>
          <w:b w:val="0"/>
          <w:color w:val="auto"/>
          <w:sz w:val="22"/>
          <w:szCs w:val="22"/>
        </w:rPr>
        <w:t>oscylogram wzorcowych rozkładów odpowiedzi częstotliwościowej transformatora, wykonany dla każdego uzwojenia GN i DN analizatorem częstotliwościowym (peak-to-peak) metodą Sweep Frequency Response Analysis (SFRA)</w:t>
      </w:r>
      <w:r w:rsidR="009A3678" w:rsidRPr="003B7367">
        <w:t xml:space="preserve"> </w:t>
      </w:r>
      <w:r w:rsidR="009A3678" w:rsidRPr="003B7367">
        <w:rPr>
          <w:rFonts w:ascii="Arial Narrow" w:hAnsi="Arial Narrow"/>
          <w:b w:val="0"/>
          <w:color w:val="auto"/>
          <w:sz w:val="22"/>
          <w:szCs w:val="22"/>
        </w:rPr>
        <w:t>zgodnie z normą PN-EN 60076-18:2013-05E Transformatory – Część 18 Pomiar odpowiedzi częstotliwościowej</w:t>
      </w:r>
      <w:r w:rsidR="00B26133" w:rsidRPr="003B7367">
        <w:rPr>
          <w:rFonts w:ascii="Arial Narrow" w:hAnsi="Arial Narrow"/>
          <w:b w:val="0"/>
          <w:color w:val="auto"/>
          <w:sz w:val="22"/>
          <w:szCs w:val="22"/>
        </w:rPr>
        <w:t>,</w:t>
      </w:r>
    </w:p>
    <w:p w:rsidR="00B26133" w:rsidRPr="003B7367" w:rsidRDefault="00A919CA" w:rsidP="000E6F19">
      <w:pPr>
        <w:pStyle w:val="Nagwek3"/>
        <w:keepNext w:val="0"/>
        <w:numPr>
          <w:ilvl w:val="0"/>
          <w:numId w:val="0"/>
        </w:numPr>
        <w:spacing w:before="0" w:after="0"/>
        <w:ind w:left="1305"/>
        <w:jc w:val="both"/>
        <w:rPr>
          <w:rFonts w:ascii="Arial Narrow" w:hAnsi="Arial Narrow"/>
          <w:b w:val="0"/>
          <w:color w:val="auto"/>
          <w:sz w:val="22"/>
          <w:szCs w:val="22"/>
          <w:lang w:val="pl-PL"/>
        </w:rPr>
      </w:pPr>
      <w:r w:rsidRPr="003B7367">
        <w:rPr>
          <w:rFonts w:ascii="Arial Narrow" w:hAnsi="Arial Narrow"/>
          <w:b w:val="0"/>
          <w:color w:val="auto"/>
          <w:sz w:val="22"/>
          <w:szCs w:val="22"/>
          <w:lang w:val="pl-PL"/>
        </w:rPr>
        <w:t xml:space="preserve">- </w:t>
      </w:r>
      <w:r w:rsidR="00B26133" w:rsidRPr="003B7367">
        <w:rPr>
          <w:rFonts w:ascii="Arial Narrow" w:hAnsi="Arial Narrow"/>
          <w:b w:val="0"/>
          <w:color w:val="auto"/>
          <w:sz w:val="22"/>
          <w:szCs w:val="22"/>
        </w:rPr>
        <w:t>pomiar zawartości gazów rozpuszczonych w oleju elektroizolacyjnym metodą Dissolved Gas Analysis (DGA), o ile po dostawie i ustawieniu na stanowisku transformator był zalewany olejem.</w:t>
      </w:r>
    </w:p>
    <w:p w:rsidR="00636091" w:rsidRPr="003B7367" w:rsidRDefault="00636091" w:rsidP="00636091"/>
    <w:p w:rsidR="00B26133" w:rsidRPr="003B7367" w:rsidRDefault="00B26133" w:rsidP="000E6F19">
      <w:pPr>
        <w:pStyle w:val="Nagwek3"/>
        <w:keepNext w:val="0"/>
        <w:spacing w:before="0"/>
        <w:ind w:left="567" w:hanging="567"/>
        <w:jc w:val="both"/>
        <w:rPr>
          <w:rFonts w:ascii="Arial Narrow" w:hAnsi="Arial Narrow"/>
          <w:b w:val="0"/>
          <w:color w:val="auto"/>
          <w:sz w:val="22"/>
          <w:szCs w:val="22"/>
        </w:rPr>
      </w:pPr>
      <w:r w:rsidRPr="003B7367">
        <w:rPr>
          <w:rFonts w:ascii="Arial Narrow" w:hAnsi="Arial Narrow"/>
          <w:b w:val="0"/>
          <w:color w:val="auto"/>
          <w:sz w:val="22"/>
          <w:szCs w:val="22"/>
        </w:rPr>
        <w:t xml:space="preserve">Protokoły pomiarów z prób: wyrobu i specjalnych muszą być poświadczone przez jednostkę certyfikującą akredytowaną w tym zakresie. </w:t>
      </w:r>
    </w:p>
    <w:p w:rsidR="00A919CA" w:rsidRPr="003B7367" w:rsidRDefault="00A919CA"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lastRenderedPageBreak/>
        <w:t>Sposób podawania numerów referencyjnych norm uwzględnia jedynie zmiany do norm publikowane oddzielnie (oznaczenie A) oraz zmiany krajowe publikowane oddzielnie (oznaczenie Az), natomiast nie uwidacznia poprawek do normy publikowanych oddzielnie (oznaczenie AC) oraz poprawek krajowych do norm publikowanych oddzielnie (oznaczenie Ap), które należy uwzględnić przy wykorzystaniu normy. Nie wymaga się podawania ww. poprawek do norm publikowanych oddzielnie na protokołach badania i certyfikatach zgodności w przeciwieństwie do zmian do norm publikowanych oddzielnie.</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 xml:space="preserve">Certyfikaty zgodności muszą być wydane producentowi, importerowi lub jego upoważnionemu przedstawicielowi przez akredytowane jednostki certyfikujące w tym zakresie na podstawie badań typu potwierdzających zgodność z normą aktualną w dniu zakończenia wykonania badań w laboratoriach akredytowanych w tym zakresie. </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Certyfikaty zgodności wydane przed datą publikacji ww. norm, w oparciu o normy aktualne w dniu wydania certyfikatu, są t</w:t>
      </w:r>
      <w:r w:rsidR="000A2C9F" w:rsidRPr="003B7367">
        <w:rPr>
          <w:rFonts w:ascii="Arial Narrow" w:hAnsi="Arial Narrow"/>
          <w:b w:val="0"/>
          <w:color w:val="auto"/>
          <w:sz w:val="22"/>
          <w:szCs w:val="22"/>
        </w:rPr>
        <w:t>r</w:t>
      </w:r>
      <w:r w:rsidRPr="003B7367">
        <w:rPr>
          <w:rFonts w:ascii="Arial Narrow" w:hAnsi="Arial Narrow"/>
          <w:b w:val="0"/>
          <w:color w:val="auto"/>
          <w:sz w:val="22"/>
          <w:szCs w:val="22"/>
        </w:rPr>
        <w:t xml:space="preserve">aktowane na równi z certyfikatami zgodności z ww. normami, do daty wskazanej przez jednostkę certyfikującą, lecz nie dłużej niż do daty utraty aktualności norm stosowanych w ocenie zgodności podanej w Komunikacie Prezesa Polskiego Komitetu Normalizacyjnego w sprawie stosowania Polskich Norm wycofanych jako dokumentów odniesienia w ocenie zgodności. </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 xml:space="preserve">Protokoły badania typu potwierdzające zgodność z normą oraz badania potwierdzające spełnienie przez wyroby innych wymagań technicznych muszą być wydane producentowi, importerowi lub jego upoważnionemu przedstawicielowi przez laboratoria akredytowane w tym zakresie. Jeżeli zmiana do normy publikowana oddzielnie wprowadza istotne zmiany wymagające wykonania nowych badań typu (jednej lub więcej prób) to badania typu należy powtórzyć lub uzupełnić nie później niż w 3 lata daty od opublikowania oddzielnie zmiany do normy o ile wcześniej nie zostanie wydana norma z włączoną do treści zmianą. Wówczas utrata aktualności norm stosowanych w ocenie zgodności zostanie na nowo podane w Komunikacie Prezesa Polskiego Komitetu Normalizacyjnego w sprawie stosowania Polskich Norm wycofanych jako dokumentów odniesienia w ocenie zgodności. </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 xml:space="preserve">Protokoły badania typu wydane producentowi, importerowi lub jego upoważnionemu przedstawicielowi przed datą publikacji ww. norm, w oparciu o normy aktualne w dniu wykonywania badań, są taktowane na równi z protokołami badania typu poświadczającymi zgodność z ww. normami, ale nie dłużej niż do daty utraty aktualności norm stosowanych w ocenie zgodności podanej w Komunikacie Prezesa Polskiego Komitetu Normalizacyjnego w sprawie stosowania Polskich Norm wycofanych jako dokumentów odniesienia w ocenie zgodności. </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 xml:space="preserve">ENERGA-OPERATOR SA zastrzega sobie prawo wglądu w oryginały certyfikatów, prawo wglądu do raportu z badań oraz pełnych protokołów z badań. </w:t>
      </w:r>
    </w:p>
    <w:p w:rsidR="001D5AB3" w:rsidRPr="003B7367" w:rsidRDefault="001D5AB3"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Normy równoważne są traktowane na równi z normami zatwierdzonymi przez Polski Komitet Normalizacyjny. Za normę równoważną uważa się normę, zawierającą w całości treść normy EN lub dokumentu harmonizacyjnego HD, zatwierdzoną przez krajowy komitet normalizacyjny członka CENELEC Europejskiego Komitetu Normalizacyjnego Elektrotechniki lub normę zatwierdzoną przez Międzynarodową Komisję Elektrotechniczną, która bez jakichkolwiek zmian została wprowadzona jako norma EN lub dokument harmonizacyjny HD.</w:t>
      </w:r>
    </w:p>
    <w:p w:rsidR="00B26133" w:rsidRPr="00636091" w:rsidRDefault="00DE747F" w:rsidP="00243203">
      <w:pPr>
        <w:pStyle w:val="Nagwek3"/>
        <w:numPr>
          <w:ilvl w:val="0"/>
          <w:numId w:val="0"/>
        </w:numPr>
        <w:jc w:val="both"/>
        <w:rPr>
          <w:rFonts w:ascii="Arial Narrow" w:hAnsi="Arial Narrow"/>
        </w:rPr>
      </w:pPr>
      <w:r w:rsidRPr="003B7367">
        <w:rPr>
          <w:rFonts w:ascii="Arial Narrow" w:hAnsi="Arial Narrow"/>
          <w:b w:val="0"/>
          <w:color w:val="auto"/>
          <w:sz w:val="22"/>
          <w:szCs w:val="22"/>
        </w:rPr>
        <w:t>Użyte terminy: akredytowane jednostki certyfikujące, laboratoria akredytowane, certyfikaty, badanie (typu), rozumiane są zgodnie z definicjami zawartymi w ustawie z dnia 30 sierpnia 2002 r. o systemie oceny zgodności (Dz.U.2004.204.2087, z późniejszymi zmianami).</w:t>
      </w:r>
    </w:p>
    <w:sectPr w:rsidR="00B26133" w:rsidRPr="00636091" w:rsidSect="00356426">
      <w:headerReference w:type="default" r:id="rId11"/>
      <w:footerReference w:type="default" r:id="rId12"/>
      <w:pgSz w:w="11906" w:h="16838"/>
      <w:pgMar w:top="718" w:right="849" w:bottom="567" w:left="1418"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B1" w:rsidRDefault="005508B1" w:rsidP="00C1488F">
      <w:pPr>
        <w:spacing w:after="0" w:line="240" w:lineRule="auto"/>
      </w:pPr>
      <w:r>
        <w:separator/>
      </w:r>
    </w:p>
  </w:endnote>
  <w:endnote w:type="continuationSeparator" w:id="0">
    <w:p w:rsidR="005508B1" w:rsidRDefault="005508B1" w:rsidP="00C1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4" w:rsidRPr="00A12452" w:rsidRDefault="004E13A4" w:rsidP="00CD4F03">
    <w:pPr>
      <w:pStyle w:val="Stopka"/>
      <w:spacing w:before="120" w:after="0" w:line="240" w:lineRule="auto"/>
      <w:jc w:val="right"/>
      <w:rPr>
        <w:lang w:val="pl-PL"/>
      </w:rPr>
    </w:pPr>
    <w:r>
      <w:fldChar w:fldCharType="begin"/>
    </w:r>
    <w:r>
      <w:instrText>PAGE   \* MERGEFORMAT</w:instrText>
    </w:r>
    <w:r>
      <w:fldChar w:fldCharType="separate"/>
    </w:r>
    <w:r w:rsidR="00DE6F88">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B1" w:rsidRDefault="005508B1" w:rsidP="00C1488F">
      <w:pPr>
        <w:spacing w:after="0" w:line="240" w:lineRule="auto"/>
      </w:pPr>
      <w:r>
        <w:separator/>
      </w:r>
    </w:p>
  </w:footnote>
  <w:footnote w:type="continuationSeparator" w:id="0">
    <w:p w:rsidR="005508B1" w:rsidRDefault="005508B1" w:rsidP="00C1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4" w:rsidRPr="00CE54C1" w:rsidRDefault="004E13A4" w:rsidP="00CE54C1">
    <w:pPr>
      <w:pStyle w:val="Nagwek"/>
      <w:spacing w:after="0" w:line="240" w:lineRule="auto"/>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3A4" w:rsidRPr="00CE54C1" w:rsidRDefault="004E13A4" w:rsidP="00CE54C1">
    <w:pPr>
      <w:pBdr>
        <w:bottom w:val="single" w:sz="4" w:space="1" w:color="auto"/>
      </w:pBdr>
      <w:tabs>
        <w:tab w:val="center" w:pos="4536"/>
        <w:tab w:val="right" w:pos="9072"/>
      </w:tabs>
      <w:spacing w:after="0" w:line="240" w:lineRule="auto"/>
      <w:ind w:left="301" w:hanging="301"/>
      <w:jc w:val="right"/>
      <w:rPr>
        <w:rFonts w:ascii="Arial Narrow" w:hAnsi="Arial Narrow" w:cs="Arial"/>
        <w:i/>
        <w:sz w:val="18"/>
        <w:szCs w:val="24"/>
        <w:lang w:eastAsia="pl-PL"/>
      </w:rPr>
    </w:pPr>
    <w:r>
      <w:rPr>
        <w:rFonts w:ascii="Arial Narrow" w:hAnsi="Arial Narrow" w:cs="Arial"/>
        <w:i/>
        <w:sz w:val="18"/>
        <w:szCs w:val="24"/>
        <w:lang w:eastAsia="pl-PL"/>
      </w:rPr>
      <w:t>Specyfikacja techniczna</w:t>
    </w:r>
    <w:r w:rsidR="00DE6F88">
      <w:rPr>
        <w:rFonts w:ascii="Arial Narrow" w:hAnsi="Arial Narrow" w:cs="Arial"/>
        <w:i/>
        <w:sz w:val="18"/>
        <w:szCs w:val="24"/>
        <w:lang w:eastAsia="pl-PL"/>
      </w:rPr>
      <w:t xml:space="preserve"> DT/5/17</w:t>
    </w:r>
  </w:p>
  <w:p w:rsidR="004E13A4" w:rsidRPr="00CE54C1" w:rsidRDefault="004E13A4" w:rsidP="00CE54C1">
    <w:pPr>
      <w:pStyle w:val="Nagwek"/>
      <w:spacing w:after="0" w:line="240" w:lineRule="auto"/>
      <w:rPr>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56A9"/>
    <w:multiLevelType w:val="hybridMultilevel"/>
    <w:tmpl w:val="A3625ACA"/>
    <w:lvl w:ilvl="0" w:tplc="1004D66C">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 w15:restartNumberingAfterBreak="0">
    <w:nsid w:val="031F715D"/>
    <w:multiLevelType w:val="hybridMultilevel"/>
    <w:tmpl w:val="C944E41E"/>
    <w:lvl w:ilvl="0" w:tplc="04150017">
      <w:start w:val="1"/>
      <w:numFmt w:val="lowerLetter"/>
      <w:lvlText w:val="%1)"/>
      <w:lvlJc w:val="left"/>
      <w:pPr>
        <w:ind w:left="720" w:hanging="360"/>
      </w:pPr>
    </w:lvl>
    <w:lvl w:ilvl="1" w:tplc="6B262E68">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017A5"/>
    <w:multiLevelType w:val="multilevel"/>
    <w:tmpl w:val="55DAFDF0"/>
    <w:lvl w:ilvl="0">
      <w:start w:val="1"/>
      <w:numFmt w:val="decimal"/>
      <w:pStyle w:val="Spistreci1"/>
      <w:lvlText w:val="%1."/>
      <w:lvlJc w:val="left"/>
      <w:pPr>
        <w:tabs>
          <w:tab w:val="num" w:pos="525"/>
        </w:tabs>
        <w:ind w:left="525" w:hanging="525"/>
      </w:pPr>
      <w:rPr>
        <w:rFonts w:ascii="Arial" w:hAnsi="Arial" w:hint="default"/>
        <w:color w:val="auto"/>
        <w:sz w:val="24"/>
      </w:rPr>
    </w:lvl>
    <w:lvl w:ilvl="1">
      <w:start w:val="1"/>
      <w:numFmt w:val="decimal"/>
      <w:lvlText w:val="%1.%2."/>
      <w:lvlJc w:val="left"/>
      <w:pPr>
        <w:tabs>
          <w:tab w:val="num" w:pos="720"/>
        </w:tabs>
        <w:ind w:left="720" w:hanging="720"/>
      </w:pPr>
      <w:rPr>
        <w:rFonts w:hint="default"/>
        <w:color w:val="auto"/>
      </w:rPr>
    </w:lvl>
    <w:lvl w:ilvl="2">
      <w:start w:val="1"/>
      <w:numFmt w:val="decimal"/>
      <w:lvlText w:val="%2.1.1."/>
      <w:lvlJc w:val="left"/>
      <w:pPr>
        <w:tabs>
          <w:tab w:val="num" w:pos="720"/>
        </w:tabs>
        <w:ind w:left="720" w:hanging="720"/>
      </w:pPr>
      <w:rPr>
        <w:rFonts w:hint="default"/>
        <w:color w:val="008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3" w15:restartNumberingAfterBreak="0">
    <w:nsid w:val="0BC53C7B"/>
    <w:multiLevelType w:val="hybridMultilevel"/>
    <w:tmpl w:val="EAD444B4"/>
    <w:lvl w:ilvl="0" w:tplc="4D22A4F0">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 w15:restartNumberingAfterBreak="0">
    <w:nsid w:val="0E364DE8"/>
    <w:multiLevelType w:val="multilevel"/>
    <w:tmpl w:val="9C48EA06"/>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 w15:restartNumberingAfterBreak="0">
    <w:nsid w:val="1DED3B98"/>
    <w:multiLevelType w:val="hybridMultilevel"/>
    <w:tmpl w:val="D92CF01C"/>
    <w:lvl w:ilvl="0" w:tplc="ECECD120">
      <w:start w:val="1"/>
      <w:numFmt w:val="lowerLetter"/>
      <w:lvlText w:val="%1)"/>
      <w:lvlJc w:val="left"/>
      <w:pPr>
        <w:ind w:left="1724" w:hanging="360"/>
      </w:pPr>
      <w:rPr>
        <w:rFonts w:hint="default"/>
      </w:r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6" w15:restartNumberingAfterBreak="0">
    <w:nsid w:val="2BE6535D"/>
    <w:multiLevelType w:val="hybridMultilevel"/>
    <w:tmpl w:val="C2C0C8CA"/>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356F177B"/>
    <w:multiLevelType w:val="hybridMultilevel"/>
    <w:tmpl w:val="823EF414"/>
    <w:lvl w:ilvl="0" w:tplc="04150017">
      <w:start w:val="1"/>
      <w:numFmt w:val="lowerLetter"/>
      <w:lvlText w:val="%1)"/>
      <w:lvlJc w:val="left"/>
      <w:pPr>
        <w:ind w:left="720" w:hanging="360"/>
      </w:pPr>
    </w:lvl>
    <w:lvl w:ilvl="1" w:tplc="6B262E68">
      <w:start w:val="1"/>
      <w:numFmt w:val="bullet"/>
      <w:lvlText w:val=""/>
      <w:lvlJc w:val="left"/>
      <w:pPr>
        <w:ind w:left="1778"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63581"/>
    <w:multiLevelType w:val="hybridMultilevel"/>
    <w:tmpl w:val="96AE0324"/>
    <w:lvl w:ilvl="0" w:tplc="04150017">
      <w:start w:val="1"/>
      <w:numFmt w:val="lowerLetter"/>
      <w:lvlText w:val="%1)"/>
      <w:lvlJc w:val="left"/>
      <w:pPr>
        <w:ind w:left="1724" w:hanging="360"/>
      </w:pPr>
      <w:rPr>
        <w:rFonts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9" w15:restartNumberingAfterBreak="0">
    <w:nsid w:val="7EA834A6"/>
    <w:multiLevelType w:val="hybridMultilevel"/>
    <w:tmpl w:val="091E1B92"/>
    <w:lvl w:ilvl="0" w:tplc="04150017">
      <w:start w:val="1"/>
      <w:numFmt w:val="lowerLetter"/>
      <w:lvlText w:val="%1)"/>
      <w:lvlJc w:val="left"/>
      <w:pPr>
        <w:ind w:left="1724" w:hanging="360"/>
      </w:pPr>
      <w:rPr>
        <w:rFonts w:hint="default"/>
      </w:rPr>
    </w:lvl>
    <w:lvl w:ilvl="1" w:tplc="04090003">
      <w:start w:val="1"/>
      <w:numFmt w:val="bullet"/>
      <w:lvlText w:val="o"/>
      <w:lvlJc w:val="left"/>
      <w:pPr>
        <w:ind w:left="2444" w:hanging="360"/>
      </w:pPr>
      <w:rPr>
        <w:rFonts w:ascii="Courier New" w:hAnsi="Courier New" w:cs="Courier New" w:hint="default"/>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
  </w:num>
  <w:num w:numId="6">
    <w:abstractNumId w:val="3"/>
  </w:num>
  <w:num w:numId="7">
    <w:abstractNumId w:val="5"/>
  </w:num>
  <w:num w:numId="8">
    <w:abstractNumId w:val="8"/>
  </w:num>
  <w:num w:numId="9">
    <w:abstractNumId w:val="0"/>
  </w:num>
  <w:num w:numId="10">
    <w:abstractNumId w:val="6"/>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14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1A7"/>
    <w:rsid w:val="0002220A"/>
    <w:rsid w:val="000327EB"/>
    <w:rsid w:val="00033E2A"/>
    <w:rsid w:val="000343B9"/>
    <w:rsid w:val="000359B2"/>
    <w:rsid w:val="000361DB"/>
    <w:rsid w:val="00037D3D"/>
    <w:rsid w:val="00042460"/>
    <w:rsid w:val="00042CB4"/>
    <w:rsid w:val="00043996"/>
    <w:rsid w:val="00043FFD"/>
    <w:rsid w:val="0005453B"/>
    <w:rsid w:val="00057EA0"/>
    <w:rsid w:val="0007754C"/>
    <w:rsid w:val="00077E46"/>
    <w:rsid w:val="00082C30"/>
    <w:rsid w:val="000879BB"/>
    <w:rsid w:val="00093CCB"/>
    <w:rsid w:val="00095208"/>
    <w:rsid w:val="000A1E5D"/>
    <w:rsid w:val="000A2C9F"/>
    <w:rsid w:val="000A71E3"/>
    <w:rsid w:val="000B2589"/>
    <w:rsid w:val="000B315E"/>
    <w:rsid w:val="000B72BC"/>
    <w:rsid w:val="000C02CF"/>
    <w:rsid w:val="000D08AB"/>
    <w:rsid w:val="000E6F19"/>
    <w:rsid w:val="000F2A48"/>
    <w:rsid w:val="000F3467"/>
    <w:rsid w:val="000F6E20"/>
    <w:rsid w:val="001134F8"/>
    <w:rsid w:val="00117922"/>
    <w:rsid w:val="00120BCF"/>
    <w:rsid w:val="00134E95"/>
    <w:rsid w:val="00142D24"/>
    <w:rsid w:val="00142D72"/>
    <w:rsid w:val="00147378"/>
    <w:rsid w:val="00150FA3"/>
    <w:rsid w:val="00156109"/>
    <w:rsid w:val="00160CF3"/>
    <w:rsid w:val="001640E4"/>
    <w:rsid w:val="00166868"/>
    <w:rsid w:val="0017569B"/>
    <w:rsid w:val="001838E1"/>
    <w:rsid w:val="00187455"/>
    <w:rsid w:val="00190097"/>
    <w:rsid w:val="001905DF"/>
    <w:rsid w:val="00190857"/>
    <w:rsid w:val="001A36E7"/>
    <w:rsid w:val="001B3550"/>
    <w:rsid w:val="001B3946"/>
    <w:rsid w:val="001B5062"/>
    <w:rsid w:val="001B6EDC"/>
    <w:rsid w:val="001B720C"/>
    <w:rsid w:val="001C4807"/>
    <w:rsid w:val="001D2D44"/>
    <w:rsid w:val="001D5AB3"/>
    <w:rsid w:val="001E6C8D"/>
    <w:rsid w:val="001F07ED"/>
    <w:rsid w:val="001F17D5"/>
    <w:rsid w:val="001F4418"/>
    <w:rsid w:val="001F76E2"/>
    <w:rsid w:val="00206A89"/>
    <w:rsid w:val="00206AB2"/>
    <w:rsid w:val="00222214"/>
    <w:rsid w:val="00223F97"/>
    <w:rsid w:val="00224C33"/>
    <w:rsid w:val="00224D11"/>
    <w:rsid w:val="002270B5"/>
    <w:rsid w:val="002410EC"/>
    <w:rsid w:val="002424D0"/>
    <w:rsid w:val="00243203"/>
    <w:rsid w:val="00243CB7"/>
    <w:rsid w:val="0024446F"/>
    <w:rsid w:val="00251BC9"/>
    <w:rsid w:val="0025455F"/>
    <w:rsid w:val="00264FCE"/>
    <w:rsid w:val="00266413"/>
    <w:rsid w:val="00267658"/>
    <w:rsid w:val="00270023"/>
    <w:rsid w:val="002718AA"/>
    <w:rsid w:val="0027744E"/>
    <w:rsid w:val="00282EDF"/>
    <w:rsid w:val="00292EFE"/>
    <w:rsid w:val="00294F3E"/>
    <w:rsid w:val="00296D83"/>
    <w:rsid w:val="002A177E"/>
    <w:rsid w:val="002A2FE1"/>
    <w:rsid w:val="002A640C"/>
    <w:rsid w:val="002B2B5D"/>
    <w:rsid w:val="002C7F6F"/>
    <w:rsid w:val="002D1D38"/>
    <w:rsid w:val="002D2A97"/>
    <w:rsid w:val="002D4FCF"/>
    <w:rsid w:val="002E0CAB"/>
    <w:rsid w:val="002E5A49"/>
    <w:rsid w:val="002F3D92"/>
    <w:rsid w:val="0030311A"/>
    <w:rsid w:val="00314E57"/>
    <w:rsid w:val="00317270"/>
    <w:rsid w:val="003200F9"/>
    <w:rsid w:val="003217F3"/>
    <w:rsid w:val="0032582D"/>
    <w:rsid w:val="00333D5E"/>
    <w:rsid w:val="00336CCE"/>
    <w:rsid w:val="00341198"/>
    <w:rsid w:val="00345166"/>
    <w:rsid w:val="00347DAD"/>
    <w:rsid w:val="0035109A"/>
    <w:rsid w:val="00353699"/>
    <w:rsid w:val="00353A55"/>
    <w:rsid w:val="00355911"/>
    <w:rsid w:val="00356426"/>
    <w:rsid w:val="00362B32"/>
    <w:rsid w:val="003641A7"/>
    <w:rsid w:val="003743A5"/>
    <w:rsid w:val="00374B03"/>
    <w:rsid w:val="00377E7A"/>
    <w:rsid w:val="00380F5A"/>
    <w:rsid w:val="003A037C"/>
    <w:rsid w:val="003A106D"/>
    <w:rsid w:val="003A2895"/>
    <w:rsid w:val="003A5A07"/>
    <w:rsid w:val="003A6CB3"/>
    <w:rsid w:val="003A7A3A"/>
    <w:rsid w:val="003B4DB6"/>
    <w:rsid w:val="003B6A0B"/>
    <w:rsid w:val="003B7367"/>
    <w:rsid w:val="003C041A"/>
    <w:rsid w:val="003C4260"/>
    <w:rsid w:val="003C547D"/>
    <w:rsid w:val="003D1F2C"/>
    <w:rsid w:val="003D4EE0"/>
    <w:rsid w:val="003D7E8A"/>
    <w:rsid w:val="003E7998"/>
    <w:rsid w:val="003F17C1"/>
    <w:rsid w:val="003F4FBB"/>
    <w:rsid w:val="003F6A54"/>
    <w:rsid w:val="00402109"/>
    <w:rsid w:val="0040535B"/>
    <w:rsid w:val="004101BF"/>
    <w:rsid w:val="00410AB1"/>
    <w:rsid w:val="004111E2"/>
    <w:rsid w:val="0042325F"/>
    <w:rsid w:val="004345EB"/>
    <w:rsid w:val="00441CFA"/>
    <w:rsid w:val="0044422D"/>
    <w:rsid w:val="004453FE"/>
    <w:rsid w:val="004466D6"/>
    <w:rsid w:val="00446F5E"/>
    <w:rsid w:val="004546E1"/>
    <w:rsid w:val="004668BF"/>
    <w:rsid w:val="00473088"/>
    <w:rsid w:val="00473B25"/>
    <w:rsid w:val="0048205F"/>
    <w:rsid w:val="004834EB"/>
    <w:rsid w:val="00484DB4"/>
    <w:rsid w:val="00487758"/>
    <w:rsid w:val="0049528C"/>
    <w:rsid w:val="004A0370"/>
    <w:rsid w:val="004A0698"/>
    <w:rsid w:val="004A3FA6"/>
    <w:rsid w:val="004B2E99"/>
    <w:rsid w:val="004B4610"/>
    <w:rsid w:val="004B5095"/>
    <w:rsid w:val="004B5FA1"/>
    <w:rsid w:val="004C69DA"/>
    <w:rsid w:val="004C79A6"/>
    <w:rsid w:val="004D2C5F"/>
    <w:rsid w:val="004D41E3"/>
    <w:rsid w:val="004D431B"/>
    <w:rsid w:val="004D43A1"/>
    <w:rsid w:val="004D6F4D"/>
    <w:rsid w:val="004D7F07"/>
    <w:rsid w:val="004E02E1"/>
    <w:rsid w:val="004E13A4"/>
    <w:rsid w:val="004F0D00"/>
    <w:rsid w:val="004F0EE6"/>
    <w:rsid w:val="004F49EA"/>
    <w:rsid w:val="00500948"/>
    <w:rsid w:val="00511B51"/>
    <w:rsid w:val="005132BC"/>
    <w:rsid w:val="005133D4"/>
    <w:rsid w:val="00513463"/>
    <w:rsid w:val="0051654E"/>
    <w:rsid w:val="00521F52"/>
    <w:rsid w:val="0053067E"/>
    <w:rsid w:val="0053132C"/>
    <w:rsid w:val="00531675"/>
    <w:rsid w:val="00535FFE"/>
    <w:rsid w:val="00544B45"/>
    <w:rsid w:val="005508B1"/>
    <w:rsid w:val="00551614"/>
    <w:rsid w:val="00557891"/>
    <w:rsid w:val="00564E14"/>
    <w:rsid w:val="005674E6"/>
    <w:rsid w:val="0057343F"/>
    <w:rsid w:val="0057611A"/>
    <w:rsid w:val="00590AAD"/>
    <w:rsid w:val="00595E0C"/>
    <w:rsid w:val="00595EC1"/>
    <w:rsid w:val="005A07A3"/>
    <w:rsid w:val="005A32DE"/>
    <w:rsid w:val="005A7F85"/>
    <w:rsid w:val="005B472A"/>
    <w:rsid w:val="005B5D25"/>
    <w:rsid w:val="005B64C7"/>
    <w:rsid w:val="005B762D"/>
    <w:rsid w:val="005B7E42"/>
    <w:rsid w:val="005B7F3D"/>
    <w:rsid w:val="005C0353"/>
    <w:rsid w:val="005C075D"/>
    <w:rsid w:val="005C7732"/>
    <w:rsid w:val="005D3770"/>
    <w:rsid w:val="005E1C10"/>
    <w:rsid w:val="005E4F99"/>
    <w:rsid w:val="005E6CB3"/>
    <w:rsid w:val="005F0989"/>
    <w:rsid w:val="005F2A2D"/>
    <w:rsid w:val="005F321B"/>
    <w:rsid w:val="005F5712"/>
    <w:rsid w:val="005F746F"/>
    <w:rsid w:val="00602141"/>
    <w:rsid w:val="006063A4"/>
    <w:rsid w:val="00606F67"/>
    <w:rsid w:val="00611FE8"/>
    <w:rsid w:val="00614413"/>
    <w:rsid w:val="00614BB7"/>
    <w:rsid w:val="00615513"/>
    <w:rsid w:val="006203AC"/>
    <w:rsid w:val="00621327"/>
    <w:rsid w:val="006226E0"/>
    <w:rsid w:val="00622A97"/>
    <w:rsid w:val="00636091"/>
    <w:rsid w:val="00637F10"/>
    <w:rsid w:val="0064336F"/>
    <w:rsid w:val="00643EC4"/>
    <w:rsid w:val="006459E4"/>
    <w:rsid w:val="00650D57"/>
    <w:rsid w:val="00653B2F"/>
    <w:rsid w:val="006677B7"/>
    <w:rsid w:val="00670D6D"/>
    <w:rsid w:val="00671841"/>
    <w:rsid w:val="00673D91"/>
    <w:rsid w:val="00684213"/>
    <w:rsid w:val="006A09B6"/>
    <w:rsid w:val="006A3BEE"/>
    <w:rsid w:val="006A5C9D"/>
    <w:rsid w:val="006A6B8D"/>
    <w:rsid w:val="006B07BF"/>
    <w:rsid w:val="006B191E"/>
    <w:rsid w:val="006B5AF8"/>
    <w:rsid w:val="006D30AD"/>
    <w:rsid w:val="006E4A81"/>
    <w:rsid w:val="006E683E"/>
    <w:rsid w:val="006E7DA6"/>
    <w:rsid w:val="006F66B8"/>
    <w:rsid w:val="0070726E"/>
    <w:rsid w:val="007073AD"/>
    <w:rsid w:val="00723FB0"/>
    <w:rsid w:val="007270CE"/>
    <w:rsid w:val="0073078E"/>
    <w:rsid w:val="0074056A"/>
    <w:rsid w:val="007444D3"/>
    <w:rsid w:val="0074637E"/>
    <w:rsid w:val="00747536"/>
    <w:rsid w:val="00752A56"/>
    <w:rsid w:val="00754997"/>
    <w:rsid w:val="0076408B"/>
    <w:rsid w:val="00770ECA"/>
    <w:rsid w:val="00772AD9"/>
    <w:rsid w:val="00773D01"/>
    <w:rsid w:val="007843A1"/>
    <w:rsid w:val="00786110"/>
    <w:rsid w:val="007964A5"/>
    <w:rsid w:val="007A1624"/>
    <w:rsid w:val="007A1D7D"/>
    <w:rsid w:val="007A3260"/>
    <w:rsid w:val="007A4C27"/>
    <w:rsid w:val="007B0450"/>
    <w:rsid w:val="007C5EBF"/>
    <w:rsid w:val="007D330B"/>
    <w:rsid w:val="007D5715"/>
    <w:rsid w:val="007E1354"/>
    <w:rsid w:val="007F40BC"/>
    <w:rsid w:val="008035C5"/>
    <w:rsid w:val="00804508"/>
    <w:rsid w:val="00806236"/>
    <w:rsid w:val="00831648"/>
    <w:rsid w:val="00836F51"/>
    <w:rsid w:val="00840136"/>
    <w:rsid w:val="00841461"/>
    <w:rsid w:val="008416FA"/>
    <w:rsid w:val="00843B38"/>
    <w:rsid w:val="00851251"/>
    <w:rsid w:val="008542B5"/>
    <w:rsid w:val="00855DC2"/>
    <w:rsid w:val="0085603C"/>
    <w:rsid w:val="0086055B"/>
    <w:rsid w:val="00872991"/>
    <w:rsid w:val="008749CA"/>
    <w:rsid w:val="00876A05"/>
    <w:rsid w:val="00881189"/>
    <w:rsid w:val="008910B7"/>
    <w:rsid w:val="00895532"/>
    <w:rsid w:val="00895F92"/>
    <w:rsid w:val="00896C87"/>
    <w:rsid w:val="008A4B1C"/>
    <w:rsid w:val="008A63D3"/>
    <w:rsid w:val="008A67C7"/>
    <w:rsid w:val="008B2947"/>
    <w:rsid w:val="008C3777"/>
    <w:rsid w:val="008C5876"/>
    <w:rsid w:val="008C6A85"/>
    <w:rsid w:val="008D391A"/>
    <w:rsid w:val="008D4124"/>
    <w:rsid w:val="008D7BC7"/>
    <w:rsid w:val="008E2B8B"/>
    <w:rsid w:val="008E3A30"/>
    <w:rsid w:val="008F4275"/>
    <w:rsid w:val="008F4861"/>
    <w:rsid w:val="0090070C"/>
    <w:rsid w:val="0090349D"/>
    <w:rsid w:val="0092177C"/>
    <w:rsid w:val="00921D30"/>
    <w:rsid w:val="009221AB"/>
    <w:rsid w:val="00923637"/>
    <w:rsid w:val="00930F9C"/>
    <w:rsid w:val="00934DE4"/>
    <w:rsid w:val="009403EC"/>
    <w:rsid w:val="00947790"/>
    <w:rsid w:val="00952BA3"/>
    <w:rsid w:val="009576D0"/>
    <w:rsid w:val="00964981"/>
    <w:rsid w:val="00975637"/>
    <w:rsid w:val="00982DB5"/>
    <w:rsid w:val="009848F8"/>
    <w:rsid w:val="00985C5A"/>
    <w:rsid w:val="009924AC"/>
    <w:rsid w:val="0099502A"/>
    <w:rsid w:val="009A1B84"/>
    <w:rsid w:val="009A3678"/>
    <w:rsid w:val="009A3BB0"/>
    <w:rsid w:val="009A49C1"/>
    <w:rsid w:val="009B539B"/>
    <w:rsid w:val="009B5F1B"/>
    <w:rsid w:val="009B74E4"/>
    <w:rsid w:val="009C69B8"/>
    <w:rsid w:val="009C69E0"/>
    <w:rsid w:val="009D0719"/>
    <w:rsid w:val="009D6C45"/>
    <w:rsid w:val="009D716C"/>
    <w:rsid w:val="009E406E"/>
    <w:rsid w:val="009E4161"/>
    <w:rsid w:val="009E6BD9"/>
    <w:rsid w:val="009E742D"/>
    <w:rsid w:val="009F04B6"/>
    <w:rsid w:val="009F0C04"/>
    <w:rsid w:val="009F7755"/>
    <w:rsid w:val="009F7CE5"/>
    <w:rsid w:val="00A01BF1"/>
    <w:rsid w:val="00A07F7A"/>
    <w:rsid w:val="00A12452"/>
    <w:rsid w:val="00A2070C"/>
    <w:rsid w:val="00A231E8"/>
    <w:rsid w:val="00A26DF9"/>
    <w:rsid w:val="00A30528"/>
    <w:rsid w:val="00A34600"/>
    <w:rsid w:val="00A370B9"/>
    <w:rsid w:val="00A52940"/>
    <w:rsid w:val="00A53406"/>
    <w:rsid w:val="00A54F2C"/>
    <w:rsid w:val="00A609CB"/>
    <w:rsid w:val="00A60DA2"/>
    <w:rsid w:val="00A778F2"/>
    <w:rsid w:val="00A80E55"/>
    <w:rsid w:val="00A8112E"/>
    <w:rsid w:val="00A830C6"/>
    <w:rsid w:val="00A83551"/>
    <w:rsid w:val="00A919CA"/>
    <w:rsid w:val="00A933AD"/>
    <w:rsid w:val="00A93DA5"/>
    <w:rsid w:val="00A97CDE"/>
    <w:rsid w:val="00AA3B5E"/>
    <w:rsid w:val="00AA4517"/>
    <w:rsid w:val="00AB1E28"/>
    <w:rsid w:val="00AB4808"/>
    <w:rsid w:val="00AB4A69"/>
    <w:rsid w:val="00AB6934"/>
    <w:rsid w:val="00AB785F"/>
    <w:rsid w:val="00AC241E"/>
    <w:rsid w:val="00AC44AD"/>
    <w:rsid w:val="00AC5D08"/>
    <w:rsid w:val="00AE0357"/>
    <w:rsid w:val="00AE136E"/>
    <w:rsid w:val="00AE2DA1"/>
    <w:rsid w:val="00AE35EE"/>
    <w:rsid w:val="00AE619C"/>
    <w:rsid w:val="00AE69D6"/>
    <w:rsid w:val="00AF4FC7"/>
    <w:rsid w:val="00B0508A"/>
    <w:rsid w:val="00B055B7"/>
    <w:rsid w:val="00B17845"/>
    <w:rsid w:val="00B20598"/>
    <w:rsid w:val="00B26133"/>
    <w:rsid w:val="00B26AF8"/>
    <w:rsid w:val="00B32C8E"/>
    <w:rsid w:val="00B4198C"/>
    <w:rsid w:val="00B5032D"/>
    <w:rsid w:val="00B538B6"/>
    <w:rsid w:val="00B53ADC"/>
    <w:rsid w:val="00B54253"/>
    <w:rsid w:val="00B545BB"/>
    <w:rsid w:val="00B722E9"/>
    <w:rsid w:val="00B735B4"/>
    <w:rsid w:val="00B738F1"/>
    <w:rsid w:val="00B875B9"/>
    <w:rsid w:val="00B95C27"/>
    <w:rsid w:val="00BA4D50"/>
    <w:rsid w:val="00BA7C17"/>
    <w:rsid w:val="00BB2337"/>
    <w:rsid w:val="00BB2F0C"/>
    <w:rsid w:val="00BB37F1"/>
    <w:rsid w:val="00BB5935"/>
    <w:rsid w:val="00BB7832"/>
    <w:rsid w:val="00BC001F"/>
    <w:rsid w:val="00BC05E2"/>
    <w:rsid w:val="00BC1F47"/>
    <w:rsid w:val="00BC5D72"/>
    <w:rsid w:val="00BD423D"/>
    <w:rsid w:val="00BE13CF"/>
    <w:rsid w:val="00BE20C3"/>
    <w:rsid w:val="00BE2C5B"/>
    <w:rsid w:val="00BE6461"/>
    <w:rsid w:val="00BE68F9"/>
    <w:rsid w:val="00BF4463"/>
    <w:rsid w:val="00BF5245"/>
    <w:rsid w:val="00C001FB"/>
    <w:rsid w:val="00C05BD6"/>
    <w:rsid w:val="00C1488F"/>
    <w:rsid w:val="00C16216"/>
    <w:rsid w:val="00C17B97"/>
    <w:rsid w:val="00C2299E"/>
    <w:rsid w:val="00C2418D"/>
    <w:rsid w:val="00C25590"/>
    <w:rsid w:val="00C27DBE"/>
    <w:rsid w:val="00C30F1F"/>
    <w:rsid w:val="00C311DD"/>
    <w:rsid w:val="00C31233"/>
    <w:rsid w:val="00C320BE"/>
    <w:rsid w:val="00C372E7"/>
    <w:rsid w:val="00C61DBA"/>
    <w:rsid w:val="00C63406"/>
    <w:rsid w:val="00C726EC"/>
    <w:rsid w:val="00C726F5"/>
    <w:rsid w:val="00C72845"/>
    <w:rsid w:val="00C76F2B"/>
    <w:rsid w:val="00C91138"/>
    <w:rsid w:val="00C925C3"/>
    <w:rsid w:val="00CA373A"/>
    <w:rsid w:val="00CA37F7"/>
    <w:rsid w:val="00CA41C2"/>
    <w:rsid w:val="00CB06AE"/>
    <w:rsid w:val="00CB54E1"/>
    <w:rsid w:val="00CC1035"/>
    <w:rsid w:val="00CC59BF"/>
    <w:rsid w:val="00CC5D5F"/>
    <w:rsid w:val="00CD4F03"/>
    <w:rsid w:val="00CE23EB"/>
    <w:rsid w:val="00CE51E2"/>
    <w:rsid w:val="00CE54C1"/>
    <w:rsid w:val="00D0240C"/>
    <w:rsid w:val="00D03A4C"/>
    <w:rsid w:val="00D06611"/>
    <w:rsid w:val="00D070CB"/>
    <w:rsid w:val="00D1046E"/>
    <w:rsid w:val="00D238A2"/>
    <w:rsid w:val="00D23AF3"/>
    <w:rsid w:val="00D24BE2"/>
    <w:rsid w:val="00D26740"/>
    <w:rsid w:val="00D41B21"/>
    <w:rsid w:val="00D57FBC"/>
    <w:rsid w:val="00D64088"/>
    <w:rsid w:val="00D741FF"/>
    <w:rsid w:val="00D742FB"/>
    <w:rsid w:val="00D75FE5"/>
    <w:rsid w:val="00D810A5"/>
    <w:rsid w:val="00D823E9"/>
    <w:rsid w:val="00D83529"/>
    <w:rsid w:val="00D94F4E"/>
    <w:rsid w:val="00DB1D6E"/>
    <w:rsid w:val="00DB6C94"/>
    <w:rsid w:val="00DC7079"/>
    <w:rsid w:val="00DD27EE"/>
    <w:rsid w:val="00DD4BE5"/>
    <w:rsid w:val="00DD78AE"/>
    <w:rsid w:val="00DE4CDE"/>
    <w:rsid w:val="00DE6F88"/>
    <w:rsid w:val="00DE747F"/>
    <w:rsid w:val="00DF018F"/>
    <w:rsid w:val="00DF199D"/>
    <w:rsid w:val="00DF32FC"/>
    <w:rsid w:val="00DF7CB9"/>
    <w:rsid w:val="00E014FB"/>
    <w:rsid w:val="00E01F6F"/>
    <w:rsid w:val="00E10E8B"/>
    <w:rsid w:val="00E23312"/>
    <w:rsid w:val="00E317F2"/>
    <w:rsid w:val="00E36F09"/>
    <w:rsid w:val="00E427A9"/>
    <w:rsid w:val="00E50473"/>
    <w:rsid w:val="00E50780"/>
    <w:rsid w:val="00E535B5"/>
    <w:rsid w:val="00E635BD"/>
    <w:rsid w:val="00E6663E"/>
    <w:rsid w:val="00E76F2A"/>
    <w:rsid w:val="00E90D61"/>
    <w:rsid w:val="00E95A84"/>
    <w:rsid w:val="00EA0DFA"/>
    <w:rsid w:val="00EC26D7"/>
    <w:rsid w:val="00EC3F8D"/>
    <w:rsid w:val="00ED08BC"/>
    <w:rsid w:val="00ED4ADE"/>
    <w:rsid w:val="00ED56B2"/>
    <w:rsid w:val="00EE0198"/>
    <w:rsid w:val="00EE0380"/>
    <w:rsid w:val="00EE2D23"/>
    <w:rsid w:val="00EE7C5E"/>
    <w:rsid w:val="00EF35F6"/>
    <w:rsid w:val="00EF6348"/>
    <w:rsid w:val="00EF6FC0"/>
    <w:rsid w:val="00F01DD2"/>
    <w:rsid w:val="00F0557E"/>
    <w:rsid w:val="00F14196"/>
    <w:rsid w:val="00F31FE3"/>
    <w:rsid w:val="00F35124"/>
    <w:rsid w:val="00F3622F"/>
    <w:rsid w:val="00F3728C"/>
    <w:rsid w:val="00F4405D"/>
    <w:rsid w:val="00F470A5"/>
    <w:rsid w:val="00F50089"/>
    <w:rsid w:val="00F54AF4"/>
    <w:rsid w:val="00F561ED"/>
    <w:rsid w:val="00F578BC"/>
    <w:rsid w:val="00F6065B"/>
    <w:rsid w:val="00F61F43"/>
    <w:rsid w:val="00F6472B"/>
    <w:rsid w:val="00F831DB"/>
    <w:rsid w:val="00F84A4E"/>
    <w:rsid w:val="00F96570"/>
    <w:rsid w:val="00FA15AC"/>
    <w:rsid w:val="00FA6E23"/>
    <w:rsid w:val="00FB0649"/>
    <w:rsid w:val="00FB3A8B"/>
    <w:rsid w:val="00FB5F0E"/>
    <w:rsid w:val="00FB66B6"/>
    <w:rsid w:val="00FC2556"/>
    <w:rsid w:val="00FC7C5F"/>
    <w:rsid w:val="00FD3088"/>
    <w:rsid w:val="00FD3AE5"/>
    <w:rsid w:val="00FD60AB"/>
    <w:rsid w:val="00FD69A3"/>
    <w:rsid w:val="00FE161E"/>
    <w:rsid w:val="00FF40A4"/>
    <w:rsid w:val="00FF48F7"/>
    <w:rsid w:val="00FF58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B36F2"/>
  <w15:docId w15:val="{B47C3B63-EF64-4D17-BA45-3F506067C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1A7"/>
    <w:pPr>
      <w:spacing w:after="200" w:line="276" w:lineRule="auto"/>
    </w:pPr>
    <w:rPr>
      <w:rFonts w:eastAsia="Times New Roman"/>
      <w:sz w:val="22"/>
      <w:szCs w:val="22"/>
      <w:lang w:eastAsia="en-US"/>
    </w:rPr>
  </w:style>
  <w:style w:type="paragraph" w:styleId="Nagwek1">
    <w:name w:val="heading 1"/>
    <w:basedOn w:val="Normalny"/>
    <w:next w:val="Normalny"/>
    <w:link w:val="Nagwek1Znak"/>
    <w:uiPriority w:val="9"/>
    <w:qFormat/>
    <w:rsid w:val="00952BA3"/>
    <w:pPr>
      <w:keepNext/>
      <w:numPr>
        <w:numId w:val="2"/>
      </w:numPr>
      <w:spacing w:before="240" w:after="60" w:line="240" w:lineRule="auto"/>
      <w:outlineLvl w:val="0"/>
    </w:pPr>
    <w:rPr>
      <w:b/>
      <w:bCs/>
      <w:color w:val="640036"/>
      <w:kern w:val="32"/>
      <w:sz w:val="32"/>
      <w:szCs w:val="32"/>
      <w:lang w:val="x-none"/>
    </w:rPr>
  </w:style>
  <w:style w:type="paragraph" w:styleId="Nagwek2">
    <w:name w:val="heading 2"/>
    <w:basedOn w:val="Normalny"/>
    <w:next w:val="Normalny"/>
    <w:link w:val="Nagwek2Znak"/>
    <w:uiPriority w:val="9"/>
    <w:qFormat/>
    <w:rsid w:val="00952BA3"/>
    <w:pPr>
      <w:keepNext/>
      <w:numPr>
        <w:ilvl w:val="1"/>
        <w:numId w:val="2"/>
      </w:numPr>
      <w:spacing w:before="240" w:after="60" w:line="240" w:lineRule="auto"/>
      <w:outlineLvl w:val="1"/>
    </w:pPr>
    <w:rPr>
      <w:b/>
      <w:bCs/>
      <w:i/>
      <w:iCs/>
      <w:color w:val="640036"/>
      <w:sz w:val="28"/>
      <w:szCs w:val="28"/>
      <w:lang w:val="x-none"/>
    </w:rPr>
  </w:style>
  <w:style w:type="paragraph" w:styleId="Nagwek3">
    <w:name w:val="heading 3"/>
    <w:basedOn w:val="Normalny"/>
    <w:next w:val="Normalny"/>
    <w:link w:val="Nagwek3Znak"/>
    <w:uiPriority w:val="9"/>
    <w:qFormat/>
    <w:rsid w:val="00952BA3"/>
    <w:pPr>
      <w:keepNext/>
      <w:numPr>
        <w:ilvl w:val="2"/>
        <w:numId w:val="2"/>
      </w:numPr>
      <w:spacing w:before="240" w:after="60" w:line="240" w:lineRule="auto"/>
      <w:outlineLvl w:val="2"/>
    </w:pPr>
    <w:rPr>
      <w:b/>
      <w:bCs/>
      <w:color w:val="640036"/>
      <w:sz w:val="26"/>
      <w:szCs w:val="26"/>
      <w:lang w:val="x-none"/>
    </w:rPr>
  </w:style>
  <w:style w:type="paragraph" w:styleId="Nagwek4">
    <w:name w:val="heading 4"/>
    <w:basedOn w:val="Normalny"/>
    <w:next w:val="Normalny"/>
    <w:link w:val="Nagwek4Znak"/>
    <w:uiPriority w:val="9"/>
    <w:qFormat/>
    <w:rsid w:val="00952BA3"/>
    <w:pPr>
      <w:keepNext/>
      <w:numPr>
        <w:ilvl w:val="3"/>
        <w:numId w:val="2"/>
      </w:numPr>
      <w:spacing w:before="240" w:after="60" w:line="240" w:lineRule="auto"/>
      <w:outlineLvl w:val="3"/>
    </w:pPr>
    <w:rPr>
      <w:b/>
      <w:bCs/>
      <w:sz w:val="28"/>
      <w:szCs w:val="28"/>
      <w:lang w:val="x-none"/>
    </w:rPr>
  </w:style>
  <w:style w:type="paragraph" w:styleId="Nagwek5">
    <w:name w:val="heading 5"/>
    <w:basedOn w:val="Normalny"/>
    <w:next w:val="Normalny"/>
    <w:link w:val="Nagwek5Znak"/>
    <w:uiPriority w:val="9"/>
    <w:qFormat/>
    <w:rsid w:val="00952BA3"/>
    <w:pPr>
      <w:numPr>
        <w:ilvl w:val="4"/>
        <w:numId w:val="2"/>
      </w:numPr>
      <w:spacing w:before="240" w:after="60" w:line="240" w:lineRule="auto"/>
      <w:outlineLvl w:val="4"/>
    </w:pPr>
    <w:rPr>
      <w:b/>
      <w:bCs/>
      <w:i/>
      <w:iCs/>
      <w:sz w:val="26"/>
      <w:szCs w:val="26"/>
      <w:lang w:val="x-none"/>
    </w:rPr>
  </w:style>
  <w:style w:type="paragraph" w:styleId="Nagwek6">
    <w:name w:val="heading 6"/>
    <w:basedOn w:val="Normalny"/>
    <w:next w:val="Normalny"/>
    <w:link w:val="Nagwek6Znak"/>
    <w:uiPriority w:val="9"/>
    <w:qFormat/>
    <w:rsid w:val="00952BA3"/>
    <w:pPr>
      <w:numPr>
        <w:ilvl w:val="5"/>
        <w:numId w:val="2"/>
      </w:numPr>
      <w:spacing w:before="240" w:after="60" w:line="240" w:lineRule="auto"/>
      <w:outlineLvl w:val="5"/>
    </w:pPr>
    <w:rPr>
      <w:b/>
      <w:bCs/>
      <w:lang w:val="x-none"/>
    </w:rPr>
  </w:style>
  <w:style w:type="paragraph" w:styleId="Nagwek7">
    <w:name w:val="heading 7"/>
    <w:basedOn w:val="Normalny"/>
    <w:next w:val="Normalny"/>
    <w:link w:val="Nagwek7Znak"/>
    <w:uiPriority w:val="9"/>
    <w:qFormat/>
    <w:rsid w:val="00952BA3"/>
    <w:pPr>
      <w:numPr>
        <w:ilvl w:val="6"/>
        <w:numId w:val="2"/>
      </w:numPr>
      <w:spacing w:before="240" w:after="60" w:line="240" w:lineRule="auto"/>
      <w:outlineLvl w:val="6"/>
    </w:pPr>
    <w:rPr>
      <w:sz w:val="24"/>
      <w:szCs w:val="24"/>
      <w:lang w:val="x-none"/>
    </w:rPr>
  </w:style>
  <w:style w:type="paragraph" w:styleId="Nagwek8">
    <w:name w:val="heading 8"/>
    <w:basedOn w:val="Normalny"/>
    <w:next w:val="Normalny"/>
    <w:link w:val="Nagwek8Znak"/>
    <w:uiPriority w:val="9"/>
    <w:qFormat/>
    <w:rsid w:val="00952BA3"/>
    <w:pPr>
      <w:numPr>
        <w:ilvl w:val="7"/>
        <w:numId w:val="2"/>
      </w:numPr>
      <w:spacing w:before="240" w:after="60" w:line="240" w:lineRule="auto"/>
      <w:outlineLvl w:val="7"/>
    </w:pPr>
    <w:rPr>
      <w:i/>
      <w:iCs/>
      <w:sz w:val="24"/>
      <w:szCs w:val="24"/>
      <w:lang w:val="x-none"/>
    </w:rPr>
  </w:style>
  <w:style w:type="paragraph" w:styleId="Nagwek9">
    <w:name w:val="heading 9"/>
    <w:basedOn w:val="Normalny"/>
    <w:next w:val="Normalny"/>
    <w:link w:val="Nagwek9Znak"/>
    <w:uiPriority w:val="9"/>
    <w:qFormat/>
    <w:rsid w:val="00952BA3"/>
    <w:pPr>
      <w:numPr>
        <w:ilvl w:val="8"/>
        <w:numId w:val="2"/>
      </w:numPr>
      <w:spacing w:before="240" w:after="60" w:line="240" w:lineRule="auto"/>
      <w:outlineLvl w:val="8"/>
    </w:pPr>
    <w:rPr>
      <w:rFonts w:ascii="Cambria" w:hAnsi="Cambria"/>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3641A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rsid w:val="003641A7"/>
    <w:pPr>
      <w:tabs>
        <w:tab w:val="center" w:pos="4536"/>
        <w:tab w:val="right" w:pos="9072"/>
      </w:tabs>
    </w:pPr>
    <w:rPr>
      <w:sz w:val="20"/>
      <w:szCs w:val="20"/>
      <w:lang w:val="x-none" w:eastAsia="x-none"/>
    </w:rPr>
  </w:style>
  <w:style w:type="character" w:customStyle="1" w:styleId="NagwekZnak">
    <w:name w:val="Nagłówek Znak"/>
    <w:link w:val="Nagwek"/>
    <w:uiPriority w:val="99"/>
    <w:rsid w:val="003641A7"/>
    <w:rPr>
      <w:rFonts w:ascii="Calibri" w:eastAsia="Times New Roman" w:hAnsi="Calibri" w:cs="Times New Roman"/>
    </w:rPr>
  </w:style>
  <w:style w:type="paragraph" w:styleId="Stopka">
    <w:name w:val="footer"/>
    <w:basedOn w:val="Normalny"/>
    <w:link w:val="StopkaZnak"/>
    <w:uiPriority w:val="99"/>
    <w:rsid w:val="003641A7"/>
    <w:pPr>
      <w:tabs>
        <w:tab w:val="center" w:pos="4536"/>
        <w:tab w:val="right" w:pos="9072"/>
      </w:tabs>
    </w:pPr>
    <w:rPr>
      <w:sz w:val="20"/>
      <w:szCs w:val="20"/>
      <w:lang w:val="x-none" w:eastAsia="x-none"/>
    </w:rPr>
  </w:style>
  <w:style w:type="character" w:customStyle="1" w:styleId="StopkaZnak">
    <w:name w:val="Stopka Znak"/>
    <w:link w:val="Stopka"/>
    <w:uiPriority w:val="99"/>
    <w:rsid w:val="003641A7"/>
    <w:rPr>
      <w:rFonts w:ascii="Calibri" w:eastAsia="Times New Roman" w:hAnsi="Calibri" w:cs="Times New Roman"/>
    </w:rPr>
  </w:style>
  <w:style w:type="paragraph" w:styleId="Tekstdymka">
    <w:name w:val="Balloon Text"/>
    <w:basedOn w:val="Normalny"/>
    <w:link w:val="TekstdymkaZnak"/>
    <w:semiHidden/>
    <w:rsid w:val="003641A7"/>
    <w:rPr>
      <w:rFonts w:ascii="Tahoma" w:hAnsi="Tahoma"/>
      <w:sz w:val="16"/>
      <w:szCs w:val="16"/>
      <w:lang w:val="x-none" w:eastAsia="x-none"/>
    </w:rPr>
  </w:style>
  <w:style w:type="character" w:customStyle="1" w:styleId="TekstdymkaZnak">
    <w:name w:val="Tekst dymka Znak"/>
    <w:link w:val="Tekstdymka"/>
    <w:semiHidden/>
    <w:rsid w:val="003641A7"/>
    <w:rPr>
      <w:rFonts w:ascii="Tahoma" w:eastAsia="Times New Roman" w:hAnsi="Tahoma" w:cs="Tahoma"/>
      <w:sz w:val="16"/>
      <w:szCs w:val="16"/>
    </w:rPr>
  </w:style>
  <w:style w:type="character" w:styleId="Odwoaniedokomentarza">
    <w:name w:val="annotation reference"/>
    <w:semiHidden/>
    <w:rsid w:val="003641A7"/>
    <w:rPr>
      <w:sz w:val="16"/>
      <w:szCs w:val="16"/>
    </w:rPr>
  </w:style>
  <w:style w:type="paragraph" w:styleId="Tekstkomentarza">
    <w:name w:val="annotation text"/>
    <w:basedOn w:val="Normalny"/>
    <w:link w:val="TekstkomentarzaZnak"/>
    <w:semiHidden/>
    <w:rsid w:val="003641A7"/>
    <w:rPr>
      <w:sz w:val="20"/>
      <w:szCs w:val="20"/>
      <w:lang w:val="x-none" w:eastAsia="x-none"/>
    </w:rPr>
  </w:style>
  <w:style w:type="character" w:customStyle="1" w:styleId="TekstkomentarzaZnak">
    <w:name w:val="Tekst komentarza Znak"/>
    <w:link w:val="Tekstkomentarza"/>
    <w:semiHidden/>
    <w:rsid w:val="003641A7"/>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semiHidden/>
    <w:rsid w:val="003641A7"/>
    <w:rPr>
      <w:b/>
      <w:bCs/>
    </w:rPr>
  </w:style>
  <w:style w:type="character" w:customStyle="1" w:styleId="TematkomentarzaZnak">
    <w:name w:val="Temat komentarza Znak"/>
    <w:link w:val="Tematkomentarza"/>
    <w:semiHidden/>
    <w:rsid w:val="003641A7"/>
    <w:rPr>
      <w:rFonts w:ascii="Calibri" w:eastAsia="Times New Roman" w:hAnsi="Calibri" w:cs="Times New Roman"/>
      <w:b/>
      <w:bCs/>
      <w:sz w:val="20"/>
      <w:szCs w:val="20"/>
    </w:rPr>
  </w:style>
  <w:style w:type="paragraph" w:styleId="Spistreci1">
    <w:name w:val="toc 1"/>
    <w:basedOn w:val="Normalny"/>
    <w:next w:val="Normalny"/>
    <w:autoRedefine/>
    <w:semiHidden/>
    <w:rsid w:val="003641A7"/>
    <w:pPr>
      <w:numPr>
        <w:numId w:val="1"/>
      </w:numPr>
      <w:tabs>
        <w:tab w:val="left" w:pos="567"/>
        <w:tab w:val="right" w:leader="dot" w:pos="9627"/>
      </w:tabs>
      <w:spacing w:before="120" w:after="120" w:line="240" w:lineRule="auto"/>
    </w:pPr>
    <w:rPr>
      <w:rFonts w:ascii="Arial" w:hAnsi="Arial"/>
      <w:bCs/>
      <w:sz w:val="24"/>
      <w:szCs w:val="20"/>
      <w:lang w:eastAsia="pl-PL"/>
    </w:rPr>
  </w:style>
  <w:style w:type="character" w:styleId="Hipercze">
    <w:name w:val="Hyperlink"/>
    <w:uiPriority w:val="99"/>
    <w:unhideWhenUsed/>
    <w:rsid w:val="003641A7"/>
    <w:rPr>
      <w:strike w:val="0"/>
      <w:dstrike w:val="0"/>
      <w:color w:val="000000"/>
      <w:u w:val="none"/>
      <w:effect w:val="none"/>
    </w:rPr>
  </w:style>
  <w:style w:type="paragraph" w:customStyle="1" w:styleId="Default">
    <w:name w:val="Default"/>
    <w:rsid w:val="003641A7"/>
    <w:pPr>
      <w:autoSpaceDE w:val="0"/>
      <w:autoSpaceDN w:val="0"/>
      <w:adjustRightInd w:val="0"/>
    </w:pPr>
    <w:rPr>
      <w:rFonts w:ascii="Arial" w:hAnsi="Arial" w:cs="Arial"/>
      <w:color w:val="000000"/>
      <w:sz w:val="24"/>
      <w:szCs w:val="24"/>
    </w:rPr>
  </w:style>
  <w:style w:type="character" w:customStyle="1" w:styleId="biggertext">
    <w:name w:val="biggertext"/>
    <w:basedOn w:val="Domylnaczcionkaakapitu"/>
    <w:rsid w:val="003641A7"/>
  </w:style>
  <w:style w:type="paragraph" w:styleId="Akapitzlist">
    <w:name w:val="List Paragraph"/>
    <w:basedOn w:val="Normalny"/>
    <w:uiPriority w:val="34"/>
    <w:qFormat/>
    <w:rsid w:val="003641A7"/>
    <w:pPr>
      <w:ind w:left="720"/>
      <w:contextualSpacing/>
    </w:pPr>
  </w:style>
  <w:style w:type="paragraph" w:styleId="Poprawka">
    <w:name w:val="Revision"/>
    <w:hidden/>
    <w:uiPriority w:val="99"/>
    <w:semiHidden/>
    <w:rsid w:val="003641A7"/>
    <w:rPr>
      <w:rFonts w:eastAsia="Times New Roman"/>
      <w:sz w:val="22"/>
      <w:szCs w:val="22"/>
      <w:lang w:eastAsia="en-US"/>
    </w:rPr>
  </w:style>
  <w:style w:type="character" w:customStyle="1" w:styleId="Nagwek1Znak">
    <w:name w:val="Nagłówek 1 Znak"/>
    <w:link w:val="Nagwek1"/>
    <w:uiPriority w:val="9"/>
    <w:rsid w:val="00952BA3"/>
    <w:rPr>
      <w:rFonts w:eastAsia="Times New Roman"/>
      <w:b/>
      <w:bCs/>
      <w:color w:val="640036"/>
      <w:kern w:val="32"/>
      <w:sz w:val="32"/>
      <w:szCs w:val="32"/>
      <w:lang w:val="x-none" w:eastAsia="en-US"/>
    </w:rPr>
  </w:style>
  <w:style w:type="character" w:customStyle="1" w:styleId="Nagwek2Znak">
    <w:name w:val="Nagłówek 2 Znak"/>
    <w:link w:val="Nagwek2"/>
    <w:uiPriority w:val="9"/>
    <w:rsid w:val="00952BA3"/>
    <w:rPr>
      <w:rFonts w:eastAsia="Times New Roman"/>
      <w:b/>
      <w:bCs/>
      <w:i/>
      <w:iCs/>
      <w:color w:val="640036"/>
      <w:sz w:val="28"/>
      <w:szCs w:val="28"/>
      <w:lang w:val="x-none" w:eastAsia="en-US"/>
    </w:rPr>
  </w:style>
  <w:style w:type="character" w:customStyle="1" w:styleId="Nagwek3Znak">
    <w:name w:val="Nagłówek 3 Znak"/>
    <w:link w:val="Nagwek3"/>
    <w:uiPriority w:val="9"/>
    <w:rsid w:val="00952BA3"/>
    <w:rPr>
      <w:rFonts w:eastAsia="Times New Roman"/>
      <w:b/>
      <w:bCs/>
      <w:color w:val="640036"/>
      <w:sz w:val="26"/>
      <w:szCs w:val="26"/>
      <w:lang w:val="x-none" w:eastAsia="en-US"/>
    </w:rPr>
  </w:style>
  <w:style w:type="character" w:customStyle="1" w:styleId="Nagwek4Znak">
    <w:name w:val="Nagłówek 4 Znak"/>
    <w:link w:val="Nagwek4"/>
    <w:uiPriority w:val="9"/>
    <w:rsid w:val="00952BA3"/>
    <w:rPr>
      <w:rFonts w:eastAsia="Times New Roman"/>
      <w:b/>
      <w:bCs/>
      <w:sz w:val="28"/>
      <w:szCs w:val="28"/>
      <w:lang w:val="x-none" w:eastAsia="en-US"/>
    </w:rPr>
  </w:style>
  <w:style w:type="character" w:customStyle="1" w:styleId="Nagwek5Znak">
    <w:name w:val="Nagłówek 5 Znak"/>
    <w:link w:val="Nagwek5"/>
    <w:uiPriority w:val="9"/>
    <w:rsid w:val="00952BA3"/>
    <w:rPr>
      <w:rFonts w:eastAsia="Times New Roman"/>
      <w:b/>
      <w:bCs/>
      <w:i/>
      <w:iCs/>
      <w:sz w:val="26"/>
      <w:szCs w:val="26"/>
      <w:lang w:val="x-none" w:eastAsia="en-US"/>
    </w:rPr>
  </w:style>
  <w:style w:type="character" w:customStyle="1" w:styleId="Nagwek6Znak">
    <w:name w:val="Nagłówek 6 Znak"/>
    <w:link w:val="Nagwek6"/>
    <w:uiPriority w:val="9"/>
    <w:rsid w:val="00952BA3"/>
    <w:rPr>
      <w:rFonts w:eastAsia="Times New Roman"/>
      <w:b/>
      <w:bCs/>
      <w:sz w:val="22"/>
      <w:szCs w:val="22"/>
      <w:lang w:val="x-none" w:eastAsia="en-US"/>
    </w:rPr>
  </w:style>
  <w:style w:type="character" w:customStyle="1" w:styleId="Nagwek7Znak">
    <w:name w:val="Nagłówek 7 Znak"/>
    <w:link w:val="Nagwek7"/>
    <w:uiPriority w:val="9"/>
    <w:rsid w:val="00952BA3"/>
    <w:rPr>
      <w:rFonts w:eastAsia="Times New Roman"/>
      <w:sz w:val="24"/>
      <w:szCs w:val="24"/>
      <w:lang w:val="x-none" w:eastAsia="en-US"/>
    </w:rPr>
  </w:style>
  <w:style w:type="character" w:customStyle="1" w:styleId="Nagwek8Znak">
    <w:name w:val="Nagłówek 8 Znak"/>
    <w:link w:val="Nagwek8"/>
    <w:uiPriority w:val="9"/>
    <w:rsid w:val="00952BA3"/>
    <w:rPr>
      <w:rFonts w:eastAsia="Times New Roman"/>
      <w:i/>
      <w:iCs/>
      <w:sz w:val="24"/>
      <w:szCs w:val="24"/>
      <w:lang w:val="x-none" w:eastAsia="en-US"/>
    </w:rPr>
  </w:style>
  <w:style w:type="character" w:customStyle="1" w:styleId="Nagwek9Znak">
    <w:name w:val="Nagłówek 9 Znak"/>
    <w:link w:val="Nagwek9"/>
    <w:uiPriority w:val="9"/>
    <w:rsid w:val="00952BA3"/>
    <w:rPr>
      <w:rFonts w:ascii="Cambria" w:eastAsia="Times New Roman" w:hAnsi="Cambria"/>
      <w:sz w:val="22"/>
      <w:szCs w:val="22"/>
      <w:lang w:val="x-none" w:eastAsia="en-US"/>
    </w:rPr>
  </w:style>
  <w:style w:type="character" w:customStyle="1" w:styleId="oryg1">
    <w:name w:val="oryg1"/>
    <w:rsid w:val="00341198"/>
    <w:rPr>
      <w:b/>
      <w:bCs/>
      <w:i/>
      <w:iCs/>
      <w:color w:val="FF0000"/>
    </w:rPr>
  </w:style>
  <w:style w:type="character" w:styleId="Pogrubienie">
    <w:name w:val="Strong"/>
    <w:uiPriority w:val="22"/>
    <w:qFormat/>
    <w:rsid w:val="00804508"/>
    <w:rPr>
      <w:b/>
      <w:bCs/>
    </w:rPr>
  </w:style>
  <w:style w:type="character" w:customStyle="1" w:styleId="st1">
    <w:name w:val="st1"/>
    <w:rsid w:val="00804508"/>
  </w:style>
  <w:style w:type="paragraph" w:styleId="Bezodstpw">
    <w:name w:val="No Spacing"/>
    <w:uiPriority w:val="1"/>
    <w:qFormat/>
    <w:rsid w:val="005F2A2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sklep.pkn.pl/?a=show&amp;m=product&amp;pid=461331&amp;page=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DC32F-E139-40F4-A3CA-6EAB34E22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4403</Words>
  <Characters>26421</Characters>
  <Application>Microsoft Office Word</Application>
  <DocSecurity>0</DocSecurity>
  <Lines>220</Lines>
  <Paragraphs>61</Paragraphs>
  <ScaleCrop>false</ScaleCrop>
  <HeadingPairs>
    <vt:vector size="2" baseType="variant">
      <vt:variant>
        <vt:lpstr>Tytuł</vt:lpstr>
      </vt:variant>
      <vt:variant>
        <vt:i4>1</vt:i4>
      </vt:variant>
    </vt:vector>
  </HeadingPairs>
  <TitlesOfParts>
    <vt:vector size="1" baseType="lpstr">
      <vt:lpstr>Załącznik nr 2 do „Standardów technicznych</vt:lpstr>
    </vt:vector>
  </TitlesOfParts>
  <Company>Microsoft</Company>
  <LinksUpToDate>false</LinksUpToDate>
  <CharactersWithSpaces>30763</CharactersWithSpaces>
  <SharedDoc>false</SharedDoc>
  <HLinks>
    <vt:vector size="54" baseType="variant">
      <vt:variant>
        <vt:i4>6619170</vt:i4>
      </vt:variant>
      <vt:variant>
        <vt:i4>24</vt:i4>
      </vt:variant>
      <vt:variant>
        <vt:i4>0</vt:i4>
      </vt:variant>
      <vt:variant>
        <vt:i4>5</vt:i4>
      </vt:variant>
      <vt:variant>
        <vt:lpwstr>https://sklep.pkn.pl/info.htm?width=375</vt:lpwstr>
      </vt:variant>
      <vt:variant>
        <vt:lpwstr/>
      </vt:variant>
      <vt:variant>
        <vt:i4>6619170</vt:i4>
      </vt:variant>
      <vt:variant>
        <vt:i4>21</vt:i4>
      </vt:variant>
      <vt:variant>
        <vt:i4>0</vt:i4>
      </vt:variant>
      <vt:variant>
        <vt:i4>5</vt:i4>
      </vt:variant>
      <vt:variant>
        <vt:lpwstr>https://sklep.pkn.pl/info.htm?width=375</vt:lpwstr>
      </vt:variant>
      <vt:variant>
        <vt:lpwstr/>
      </vt:variant>
      <vt:variant>
        <vt:i4>6619170</vt:i4>
      </vt:variant>
      <vt:variant>
        <vt:i4>18</vt:i4>
      </vt:variant>
      <vt:variant>
        <vt:i4>0</vt:i4>
      </vt:variant>
      <vt:variant>
        <vt:i4>5</vt:i4>
      </vt:variant>
      <vt:variant>
        <vt:lpwstr>https://sklep.pkn.pl/info.htm?width=375</vt:lpwstr>
      </vt:variant>
      <vt:variant>
        <vt:lpwstr/>
      </vt:variant>
      <vt:variant>
        <vt:i4>6619170</vt:i4>
      </vt:variant>
      <vt:variant>
        <vt:i4>15</vt:i4>
      </vt:variant>
      <vt:variant>
        <vt:i4>0</vt:i4>
      </vt:variant>
      <vt:variant>
        <vt:i4>5</vt:i4>
      </vt:variant>
      <vt:variant>
        <vt:lpwstr>https://sklep.pkn.pl/info.htm?width=375</vt:lpwstr>
      </vt:variant>
      <vt:variant>
        <vt:lpwstr/>
      </vt:variant>
      <vt:variant>
        <vt:i4>6619170</vt:i4>
      </vt:variant>
      <vt:variant>
        <vt:i4>12</vt:i4>
      </vt:variant>
      <vt:variant>
        <vt:i4>0</vt:i4>
      </vt:variant>
      <vt:variant>
        <vt:i4>5</vt:i4>
      </vt:variant>
      <vt:variant>
        <vt:lpwstr>https://sklep.pkn.pl/info.htm?width=375</vt:lpwstr>
      </vt:variant>
      <vt:variant>
        <vt:lpwstr/>
      </vt:variant>
      <vt:variant>
        <vt:i4>6619170</vt:i4>
      </vt:variant>
      <vt:variant>
        <vt:i4>9</vt:i4>
      </vt:variant>
      <vt:variant>
        <vt:i4>0</vt:i4>
      </vt:variant>
      <vt:variant>
        <vt:i4>5</vt:i4>
      </vt:variant>
      <vt:variant>
        <vt:lpwstr>https://sklep.pkn.pl/info.htm?width=375</vt:lpwstr>
      </vt:variant>
      <vt:variant>
        <vt:lpwstr/>
      </vt:variant>
      <vt:variant>
        <vt:i4>6619170</vt:i4>
      </vt:variant>
      <vt:variant>
        <vt:i4>6</vt:i4>
      </vt:variant>
      <vt:variant>
        <vt:i4>0</vt:i4>
      </vt:variant>
      <vt:variant>
        <vt:i4>5</vt:i4>
      </vt:variant>
      <vt:variant>
        <vt:lpwstr>https://sklep.pkn.pl/info.htm?width=375</vt:lpwstr>
      </vt:variant>
      <vt:variant>
        <vt:lpwstr/>
      </vt:variant>
      <vt:variant>
        <vt:i4>6619170</vt:i4>
      </vt:variant>
      <vt:variant>
        <vt:i4>3</vt:i4>
      </vt:variant>
      <vt:variant>
        <vt:i4>0</vt:i4>
      </vt:variant>
      <vt:variant>
        <vt:i4>5</vt:i4>
      </vt:variant>
      <vt:variant>
        <vt:lpwstr>https://sklep.pkn.pl/info.htm?width=375</vt:lpwstr>
      </vt:variant>
      <vt:variant>
        <vt:lpwstr/>
      </vt:variant>
      <vt:variant>
        <vt:i4>6619170</vt:i4>
      </vt:variant>
      <vt:variant>
        <vt:i4>0</vt:i4>
      </vt:variant>
      <vt:variant>
        <vt:i4>0</vt:i4>
      </vt:variant>
      <vt:variant>
        <vt:i4>5</vt:i4>
      </vt:variant>
      <vt:variant>
        <vt:lpwstr>https://sklep.pkn.pl/info.htm?width=375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„Standardów technicznych</dc:title>
  <dc:creator>bakowalski</dc:creator>
  <cp:lastModifiedBy>Skocka Jolanta</cp:lastModifiedBy>
  <cp:revision>4</cp:revision>
  <cp:lastPrinted>2015-09-15T07:50:00Z</cp:lastPrinted>
  <dcterms:created xsi:type="dcterms:W3CDTF">2017-07-24T12:34:00Z</dcterms:created>
  <dcterms:modified xsi:type="dcterms:W3CDTF">2017-08-09T08:26:00Z</dcterms:modified>
</cp:coreProperties>
</file>